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79630">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共建教育</w:t>
      </w:r>
      <w:r>
        <w:rPr>
          <w:rFonts w:hint="eastAsia" w:ascii="方正小标宋简体" w:hAnsi="方正小标宋简体" w:eastAsia="方正小标宋简体" w:cs="方正小标宋简体"/>
          <w:b w:val="0"/>
          <w:bCs w:val="0"/>
          <w:sz w:val="44"/>
          <w:szCs w:val="44"/>
          <w:lang w:eastAsia="zh-CN"/>
        </w:rPr>
        <w:t>实践</w:t>
      </w:r>
      <w:r>
        <w:rPr>
          <w:rFonts w:hint="eastAsia" w:ascii="方正小标宋简体" w:hAnsi="方正小标宋简体" w:eastAsia="方正小标宋简体" w:cs="方正小标宋简体"/>
          <w:b w:val="0"/>
          <w:bCs w:val="0"/>
          <w:sz w:val="44"/>
          <w:szCs w:val="44"/>
        </w:rPr>
        <w:t>基地协议书</w:t>
      </w:r>
    </w:p>
    <w:p w14:paraId="1443EBB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36"/>
          <w:lang w:eastAsia="zh-CN"/>
        </w:rPr>
      </w:pPr>
    </w:p>
    <w:p w14:paraId="75A0BDA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b/>
          <w:bCs/>
          <w:sz w:val="28"/>
          <w:szCs w:val="36"/>
          <w:lang w:eastAsia="zh-CN"/>
        </w:rPr>
        <w:t>甲方：</w:t>
      </w:r>
      <w:r>
        <w:rPr>
          <w:rFonts w:hint="eastAsia" w:ascii="仿宋_GB2312" w:hAnsi="仿宋_GB2312" w:eastAsia="仿宋_GB2312" w:cs="仿宋_GB2312"/>
          <w:b/>
          <w:bCs/>
          <w:color w:val="C00000"/>
          <w:sz w:val="21"/>
          <w:szCs w:val="21"/>
          <w:u w:val="single"/>
          <w:lang w:val="en-US" w:eastAsia="zh-CN"/>
        </w:rPr>
        <w:t>泉州师范学院文学与传播学院</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以下简称甲方</w:t>
      </w:r>
      <w:r>
        <w:rPr>
          <w:rFonts w:hint="eastAsia" w:ascii="仿宋_GB2312" w:hAnsi="仿宋_GB2312" w:eastAsia="仿宋_GB2312" w:cs="仿宋_GB2312"/>
          <w:sz w:val="28"/>
          <w:szCs w:val="36"/>
          <w:lang w:eastAsia="zh-CN"/>
        </w:rPr>
        <w:t>）</w:t>
      </w:r>
    </w:p>
    <w:p w14:paraId="7DC381A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36"/>
          <w:u w:val="single"/>
          <w:lang w:val="en-US" w:eastAsia="zh-CN"/>
        </w:rPr>
      </w:pPr>
      <w:r>
        <w:rPr>
          <w:rFonts w:hint="eastAsia" w:ascii="仿宋_GB2312" w:hAnsi="仿宋_GB2312" w:eastAsia="仿宋_GB2312" w:cs="仿宋_GB2312"/>
          <w:sz w:val="28"/>
          <w:szCs w:val="36"/>
          <w:lang w:val="en-US" w:eastAsia="zh-CN"/>
        </w:rPr>
        <w:t>地址：</w:t>
      </w:r>
      <w:r>
        <w:rPr>
          <w:rFonts w:hint="eastAsia" w:ascii="仿宋_GB2312" w:hAnsi="仿宋_GB2312" w:eastAsia="仿宋_GB2312" w:cs="仿宋_GB2312"/>
          <w:sz w:val="28"/>
          <w:szCs w:val="36"/>
          <w:u w:val="single"/>
          <w:lang w:val="en-US" w:eastAsia="zh-CN"/>
        </w:rPr>
        <w:t xml:space="preserve">   泉州市丰泽区东海大街398号            </w:t>
      </w:r>
    </w:p>
    <w:p w14:paraId="216CDF1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36"/>
          <w:u w:val="single"/>
          <w:lang w:val="en-US" w:eastAsia="zh-CN"/>
        </w:rPr>
      </w:pPr>
      <w:r>
        <w:rPr>
          <w:rFonts w:hint="eastAsia" w:ascii="仿宋_GB2312" w:hAnsi="仿宋_GB2312" w:eastAsia="仿宋_GB2312" w:cs="仿宋_GB2312"/>
          <w:sz w:val="28"/>
          <w:szCs w:val="36"/>
          <w:lang w:val="en-US" w:eastAsia="zh-CN"/>
        </w:rPr>
        <w:t>联系人</w:t>
      </w:r>
      <w:r>
        <w:rPr>
          <w:rFonts w:hint="eastAsia" w:ascii="仿宋_GB2312" w:hAnsi="仿宋_GB2312" w:eastAsia="仿宋_GB2312" w:cs="仿宋_GB2312"/>
          <w:sz w:val="28"/>
          <w:szCs w:val="36"/>
          <w:u w:val="none"/>
          <w:lang w:val="en-US" w:eastAsia="zh-CN"/>
        </w:rPr>
        <w:t>：</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 xml:space="preserve">     电话：</w:t>
      </w:r>
      <w:r>
        <w:rPr>
          <w:rFonts w:hint="eastAsia" w:ascii="仿宋_GB2312" w:hAnsi="仿宋_GB2312" w:eastAsia="仿宋_GB2312" w:cs="仿宋_GB2312"/>
          <w:sz w:val="28"/>
          <w:szCs w:val="36"/>
          <w:u w:val="single"/>
          <w:lang w:val="en-US" w:eastAsia="zh-CN"/>
        </w:rPr>
        <w:t xml:space="preserve">               </w:t>
      </w:r>
    </w:p>
    <w:p w14:paraId="34BE06ED">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8"/>
          <w:szCs w:val="36"/>
          <w:u w:val="none"/>
          <w:lang w:val="en-US" w:eastAsia="zh-CN"/>
        </w:rPr>
      </w:pPr>
      <w:r>
        <w:rPr>
          <w:rFonts w:hint="eastAsia" w:ascii="仿宋_GB2312" w:hAnsi="仿宋_GB2312" w:eastAsia="仿宋_GB2312" w:cs="仿宋_GB2312"/>
          <w:b/>
          <w:bCs/>
          <w:sz w:val="28"/>
          <w:szCs w:val="36"/>
          <w:lang w:eastAsia="zh-CN"/>
        </w:rPr>
        <w:t>乙方：</w:t>
      </w:r>
      <w:r>
        <w:rPr>
          <w:rFonts w:hint="eastAsia" w:ascii="仿宋_GB2312" w:hAnsi="仿宋_GB2312" w:eastAsia="仿宋_GB2312" w:cs="仿宋_GB2312"/>
          <w:b/>
          <w:bCs/>
          <w:sz w:val="28"/>
          <w:szCs w:val="36"/>
          <w:u w:val="single"/>
          <w:lang w:val="en-US" w:eastAsia="zh-CN"/>
        </w:rPr>
        <w:t xml:space="preserve">                                    </w:t>
      </w:r>
      <w:r>
        <w:rPr>
          <w:rFonts w:hint="eastAsia" w:ascii="仿宋_GB2312" w:hAnsi="仿宋_GB2312" w:eastAsia="仿宋_GB2312" w:cs="仿宋_GB2312"/>
          <w:sz w:val="28"/>
          <w:szCs w:val="36"/>
          <w:u w:val="none"/>
          <w:lang w:val="en-US" w:eastAsia="zh-CN"/>
        </w:rPr>
        <w:t>（以下简称乙方）</w:t>
      </w:r>
    </w:p>
    <w:p w14:paraId="0EA8108E">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36"/>
          <w:u w:val="single"/>
          <w:lang w:val="en-US" w:eastAsia="zh-CN"/>
        </w:rPr>
      </w:pPr>
      <w:r>
        <w:rPr>
          <w:rFonts w:hint="eastAsia" w:ascii="仿宋_GB2312" w:hAnsi="仿宋_GB2312" w:eastAsia="仿宋_GB2312" w:cs="仿宋_GB2312"/>
          <w:sz w:val="28"/>
          <w:szCs w:val="36"/>
          <w:lang w:val="en-US" w:eastAsia="zh-CN"/>
        </w:rPr>
        <w:t>地址：</w:t>
      </w:r>
      <w:r>
        <w:rPr>
          <w:rFonts w:hint="eastAsia" w:ascii="仿宋_GB2312" w:hAnsi="仿宋_GB2312" w:eastAsia="仿宋_GB2312" w:cs="仿宋_GB2312"/>
          <w:sz w:val="28"/>
          <w:szCs w:val="36"/>
          <w:u w:val="single"/>
          <w:lang w:val="en-US" w:eastAsia="zh-CN"/>
        </w:rPr>
        <w:t xml:space="preserve">                                         </w:t>
      </w:r>
    </w:p>
    <w:p w14:paraId="379101D4">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28"/>
          <w:szCs w:val="36"/>
          <w:u w:val="single"/>
          <w:lang w:val="en-US" w:eastAsia="zh-CN"/>
        </w:rPr>
      </w:pPr>
      <w:r>
        <w:rPr>
          <w:rFonts w:hint="eastAsia" w:ascii="仿宋_GB2312" w:hAnsi="仿宋_GB2312" w:eastAsia="仿宋_GB2312" w:cs="仿宋_GB2312"/>
          <w:sz w:val="28"/>
          <w:szCs w:val="36"/>
          <w:lang w:val="en-US" w:eastAsia="zh-CN"/>
        </w:rPr>
        <w:t>联系人</w:t>
      </w:r>
      <w:r>
        <w:rPr>
          <w:rFonts w:hint="eastAsia" w:ascii="仿宋_GB2312" w:hAnsi="仿宋_GB2312" w:eastAsia="仿宋_GB2312" w:cs="仿宋_GB2312"/>
          <w:sz w:val="28"/>
          <w:szCs w:val="36"/>
          <w:u w:val="none"/>
          <w:lang w:val="en-US" w:eastAsia="zh-CN"/>
        </w:rPr>
        <w:t>：</w:t>
      </w:r>
      <w:r>
        <w:rPr>
          <w:rFonts w:hint="eastAsia" w:ascii="仿宋_GB2312" w:hAnsi="仿宋_GB2312" w:eastAsia="仿宋_GB2312" w:cs="仿宋_GB2312"/>
          <w:sz w:val="28"/>
          <w:szCs w:val="36"/>
          <w:u w:val="single"/>
          <w:lang w:val="en-US" w:eastAsia="zh-CN"/>
        </w:rPr>
        <w:t xml:space="preserve">             </w:t>
      </w:r>
      <w:r>
        <w:rPr>
          <w:rFonts w:hint="eastAsia" w:ascii="仿宋_GB2312" w:hAnsi="仿宋_GB2312" w:eastAsia="仿宋_GB2312" w:cs="仿宋_GB2312"/>
          <w:sz w:val="28"/>
          <w:szCs w:val="36"/>
          <w:lang w:val="en-US" w:eastAsia="zh-CN"/>
        </w:rPr>
        <w:t xml:space="preserve">     电话：</w:t>
      </w:r>
      <w:r>
        <w:rPr>
          <w:rFonts w:hint="eastAsia" w:ascii="仿宋_GB2312" w:hAnsi="仿宋_GB2312" w:eastAsia="仿宋_GB2312" w:cs="仿宋_GB2312"/>
          <w:sz w:val="28"/>
          <w:szCs w:val="36"/>
          <w:u w:val="single"/>
          <w:lang w:val="en-US" w:eastAsia="zh-CN"/>
        </w:rPr>
        <w:t xml:space="preserve">               </w:t>
      </w:r>
    </w:p>
    <w:p w14:paraId="3F42A9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培养和造就高素质专业化创新型教师队伍是教育行政部门、高校和中小学、幼儿园的共同使命。教育</w:t>
      </w:r>
      <w:bookmarkStart w:id="0" w:name="_GoBack"/>
      <w:r>
        <w:rPr>
          <w:rFonts w:hint="eastAsia" w:ascii="仿宋_GB2312" w:hAnsi="仿宋_GB2312" w:eastAsia="仿宋_GB2312" w:cs="仿宋_GB2312"/>
          <w:sz w:val="28"/>
          <w:szCs w:val="36"/>
          <w:lang w:eastAsia="zh-CN"/>
        </w:rPr>
        <w:t>实践是师</w:t>
      </w:r>
      <w:bookmarkEnd w:id="0"/>
      <w:r>
        <w:rPr>
          <w:rFonts w:hint="eastAsia" w:ascii="仿宋_GB2312" w:hAnsi="仿宋_GB2312" w:eastAsia="仿宋_GB2312" w:cs="仿宋_GB2312"/>
          <w:sz w:val="28"/>
          <w:szCs w:val="36"/>
          <w:lang w:eastAsia="zh-CN"/>
        </w:rPr>
        <w:t>范院校培养合格教师的重要环节。为落实《教育部关于加强师范生教育实践的意见》（教师〔2016〕2号）精神，保证师范生的培养质量，经过</w:t>
      </w:r>
      <w:r>
        <w:rPr>
          <w:rFonts w:hint="eastAsia" w:ascii="仿宋_GB2312" w:hAnsi="仿宋_GB2312" w:eastAsia="仿宋_GB2312" w:cs="仿宋_GB2312"/>
          <w:sz w:val="28"/>
          <w:szCs w:val="36"/>
          <w:lang w:val="en-US" w:eastAsia="zh-CN"/>
        </w:rPr>
        <w:t>甲乙双方</w:t>
      </w:r>
      <w:r>
        <w:rPr>
          <w:rFonts w:hint="eastAsia" w:ascii="仿宋_GB2312" w:hAnsi="仿宋_GB2312" w:eastAsia="仿宋_GB2312" w:cs="仿宋_GB2312"/>
          <w:sz w:val="28"/>
          <w:szCs w:val="36"/>
          <w:lang w:eastAsia="zh-CN"/>
        </w:rPr>
        <w:t>友好协商，就共建教育实践基地</w:t>
      </w:r>
      <w:r>
        <w:rPr>
          <w:rFonts w:hint="eastAsia" w:ascii="仿宋_GB2312" w:hAnsi="仿宋_GB2312" w:eastAsia="仿宋_GB2312" w:cs="仿宋_GB2312"/>
          <w:sz w:val="28"/>
          <w:szCs w:val="36"/>
          <w:lang w:val="en-US" w:eastAsia="zh-CN"/>
        </w:rPr>
        <w:t>事宜</w:t>
      </w:r>
      <w:r>
        <w:rPr>
          <w:rFonts w:hint="eastAsia" w:ascii="仿宋_GB2312" w:hAnsi="仿宋_GB2312" w:eastAsia="仿宋_GB2312" w:cs="仿宋_GB2312"/>
          <w:sz w:val="28"/>
          <w:szCs w:val="36"/>
          <w:lang w:eastAsia="zh-CN"/>
        </w:rPr>
        <w:t>达成如下协议：</w:t>
      </w:r>
    </w:p>
    <w:p w14:paraId="3191F0A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一、合作原则</w:t>
      </w:r>
    </w:p>
    <w:p w14:paraId="45314BF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本着“优势互补、资源共享、互惠双赢、共同发展”的原则，</w:t>
      </w:r>
      <w:r>
        <w:rPr>
          <w:rFonts w:hint="eastAsia" w:ascii="仿宋_GB2312" w:hAnsi="仿宋_GB2312" w:eastAsia="仿宋_GB2312" w:cs="仿宋_GB2312"/>
          <w:sz w:val="28"/>
          <w:szCs w:val="36"/>
          <w:lang w:val="en-US" w:eastAsia="zh-CN"/>
        </w:rPr>
        <w:t>在师范生教育实践、教师培训、教育教学研究、基地学校发展等多方面建立合作共赢的长效机制。</w:t>
      </w:r>
    </w:p>
    <w:p w14:paraId="13E686E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二、合作内容</w:t>
      </w:r>
    </w:p>
    <w:p w14:paraId="48CCEBB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一</w:t>
      </w:r>
      <w:r>
        <w:rPr>
          <w:rFonts w:hint="eastAsia" w:ascii="仿宋_GB2312" w:hAnsi="仿宋_GB2312" w:eastAsia="仿宋_GB2312" w:cs="仿宋_GB2312"/>
          <w:sz w:val="28"/>
          <w:szCs w:val="36"/>
          <w:lang w:eastAsia="zh-CN"/>
        </w:rPr>
        <w:t>）甲方依托乙方设立教育实践基地，对外挂牌“泉州师范学院教育实践基地”。</w:t>
      </w:r>
    </w:p>
    <w:p w14:paraId="033A2CE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二</w:t>
      </w:r>
      <w:r>
        <w:rPr>
          <w:rFonts w:hint="eastAsia" w:ascii="仿宋_GB2312" w:hAnsi="仿宋_GB2312" w:eastAsia="仿宋_GB2312" w:cs="仿宋_GB2312"/>
          <w:sz w:val="28"/>
          <w:szCs w:val="36"/>
          <w:lang w:eastAsia="zh-CN"/>
        </w:rPr>
        <w:t>）双方共同为师范生教育实践活动创造条件，乙方提供充足的实践岗位、充分的实践机会、有效的实践指导和安全健康的实践环境。</w:t>
      </w:r>
    </w:p>
    <w:p w14:paraId="151D016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三</w:t>
      </w:r>
      <w:r>
        <w:rPr>
          <w:rFonts w:hint="eastAsia" w:ascii="仿宋_GB2312" w:hAnsi="仿宋_GB2312" w:eastAsia="仿宋_GB2312" w:cs="仿宋_GB2312"/>
          <w:sz w:val="28"/>
          <w:szCs w:val="36"/>
          <w:lang w:eastAsia="zh-CN"/>
        </w:rPr>
        <w:t>）甲方应主动与乙方沟通，共同制定教育实践计划，并派出指导教师对实习生进行管理和指导。</w:t>
      </w:r>
    </w:p>
    <w:p w14:paraId="78505D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四</w:t>
      </w:r>
      <w:r>
        <w:rPr>
          <w:rFonts w:hint="eastAsia" w:ascii="仿宋_GB2312" w:hAnsi="仿宋_GB2312" w:eastAsia="仿宋_GB2312" w:cs="仿宋_GB2312"/>
          <w:sz w:val="28"/>
          <w:szCs w:val="36"/>
          <w:lang w:eastAsia="zh-CN"/>
        </w:rPr>
        <w:t>）乙方成立教育实践领导小组，为师范生选派有经验、责任心强的指导教师，指导甲方师范生开展各项教育实践活动。</w:t>
      </w:r>
    </w:p>
    <w:p w14:paraId="01066B5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（五）乙方应根据教育发展的需要，对甲方的专业设置、课程设置、人才培养等方面提供建议和咨询。与甲方学生就业部门加强联系，及时向甲方提供教师需求方面的信息。</w:t>
      </w:r>
    </w:p>
    <w:p w14:paraId="264298D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（六）根据甲方需求，乙方在不影响教学工作的前提下，选派优秀教师、优秀班主任到甲方作经验介绍。在条件相同的情况下，优先录用甲方的毕业生。</w:t>
      </w:r>
    </w:p>
    <w:p w14:paraId="731DE6D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七</w:t>
      </w:r>
      <w:r>
        <w:rPr>
          <w:rFonts w:hint="eastAsia" w:ascii="仿宋_GB2312" w:hAnsi="仿宋_GB2312" w:eastAsia="仿宋_GB2312" w:cs="仿宋_GB2312"/>
          <w:sz w:val="28"/>
          <w:szCs w:val="36"/>
          <w:lang w:eastAsia="zh-CN"/>
        </w:rPr>
        <w:t>）甲方为乙方的科研课题研究、基础教育课程改革、科技活动以及师资培养等方面提供一切必要和可能的优先支持和帮助。</w:t>
      </w:r>
    </w:p>
    <w:p w14:paraId="17B84C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val="en-US" w:eastAsia="zh-CN"/>
        </w:rPr>
        <w:t>（八）双方探索“协同教研”“双向互聘”“岗位互换”等共同发展机制。</w:t>
      </w:r>
    </w:p>
    <w:p w14:paraId="64AF3C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三、附则</w:t>
      </w:r>
    </w:p>
    <w:p w14:paraId="0E6F66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（一）为加强沟通和联系，甲、乙双方应明确联系人和联系方式，并通过不定期的会面研究解决合作过程中的问题。</w:t>
      </w:r>
    </w:p>
    <w:p w14:paraId="02C413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（二）双方的具体合作项目可在本协议的基础上另签。</w:t>
      </w:r>
    </w:p>
    <w:p w14:paraId="424FF41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（三）本协议有效期五年，</w:t>
      </w:r>
      <w:r>
        <w:rPr>
          <w:rFonts w:hint="eastAsia" w:ascii="仿宋_GB2312" w:hAnsi="仿宋_GB2312" w:eastAsia="仿宋_GB2312" w:cs="仿宋_GB2312"/>
          <w:sz w:val="28"/>
          <w:szCs w:val="36"/>
          <w:lang w:eastAsia="zh-CN"/>
        </w:rPr>
        <w:t>自</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年</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月</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日起至</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年</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月</w:t>
      </w:r>
      <w:r>
        <w:rPr>
          <w:rFonts w:hint="eastAsia" w:ascii="仿宋_GB2312" w:hAnsi="仿宋_GB2312" w:eastAsia="仿宋_GB2312" w:cs="仿宋_GB2312"/>
          <w:sz w:val="28"/>
          <w:szCs w:val="36"/>
          <w:lang w:val="en-US" w:eastAsia="zh-CN"/>
        </w:rPr>
        <w:t xml:space="preserve">  </w:t>
      </w:r>
      <w:r>
        <w:rPr>
          <w:rFonts w:hint="eastAsia" w:ascii="仿宋_GB2312" w:hAnsi="仿宋_GB2312" w:eastAsia="仿宋_GB2312" w:cs="仿宋_GB2312"/>
          <w:sz w:val="28"/>
          <w:szCs w:val="36"/>
          <w:lang w:eastAsia="zh-CN"/>
        </w:rPr>
        <w:t>日止。</w:t>
      </w:r>
      <w:r>
        <w:rPr>
          <w:rFonts w:hint="eastAsia" w:ascii="仿宋_GB2312" w:hAnsi="仿宋_GB2312" w:eastAsia="仿宋_GB2312" w:cs="仿宋_GB2312"/>
          <w:sz w:val="28"/>
          <w:szCs w:val="36"/>
          <w:lang w:val="en-US" w:eastAsia="zh-CN"/>
        </w:rPr>
        <w:t>协议期满可根据双方需要续签。</w:t>
      </w:r>
    </w:p>
    <w:tbl>
      <w:tblPr>
        <w:tblStyle w:val="4"/>
        <w:tblpPr w:leftFromText="180" w:rightFromText="180" w:vertAnchor="text" w:horzAnchor="page" w:tblpX="1915" w:tblpY="120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25"/>
        <w:gridCol w:w="4166"/>
      </w:tblGrid>
      <w:tr w14:paraId="0B49D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25" w:type="dxa"/>
            <w:tcBorders>
              <w:tl2br w:val="nil"/>
              <w:tr2bl w:val="nil"/>
            </w:tcBorders>
            <w:vAlign w:val="center"/>
          </w:tcPr>
          <w:p w14:paraId="5546E0F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甲方：</w:t>
            </w:r>
          </w:p>
          <w:p w14:paraId="19364F3F">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（盖章）</w:t>
            </w:r>
          </w:p>
        </w:tc>
        <w:tc>
          <w:tcPr>
            <w:tcW w:w="4166" w:type="dxa"/>
            <w:tcBorders>
              <w:tl2br w:val="nil"/>
              <w:tr2bl w:val="nil"/>
            </w:tcBorders>
            <w:vAlign w:val="center"/>
          </w:tcPr>
          <w:p w14:paraId="60847B7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lang w:eastAsia="zh-CN"/>
              </w:rPr>
              <w:t>乙方：</w:t>
            </w:r>
          </w:p>
          <w:p w14:paraId="6FDF393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（盖章）</w:t>
            </w:r>
          </w:p>
        </w:tc>
      </w:tr>
      <w:tr w14:paraId="4C6C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25" w:type="dxa"/>
            <w:tcBorders>
              <w:tl2br w:val="nil"/>
              <w:tr2bl w:val="nil"/>
            </w:tcBorders>
            <w:vAlign w:val="center"/>
          </w:tcPr>
          <w:p w14:paraId="321C26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 xml:space="preserve">代表：  </w:t>
            </w:r>
          </w:p>
        </w:tc>
        <w:tc>
          <w:tcPr>
            <w:tcW w:w="4166" w:type="dxa"/>
            <w:tcBorders>
              <w:tl2br w:val="nil"/>
              <w:tr2bl w:val="nil"/>
            </w:tcBorders>
            <w:vAlign w:val="center"/>
          </w:tcPr>
          <w:p w14:paraId="6A7CA28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代表：</w:t>
            </w:r>
          </w:p>
        </w:tc>
      </w:tr>
      <w:tr w14:paraId="50A66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25" w:type="dxa"/>
            <w:tcBorders>
              <w:tl2br w:val="nil"/>
              <w:tr2bl w:val="nil"/>
            </w:tcBorders>
            <w:vAlign w:val="center"/>
          </w:tcPr>
          <w:p w14:paraId="23584C1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日期：   年    月    日</w:t>
            </w:r>
          </w:p>
        </w:tc>
        <w:tc>
          <w:tcPr>
            <w:tcW w:w="4166" w:type="dxa"/>
            <w:tcBorders>
              <w:tl2br w:val="nil"/>
              <w:tr2bl w:val="nil"/>
            </w:tcBorders>
            <w:vAlign w:val="center"/>
          </w:tcPr>
          <w:p w14:paraId="1DD695E6">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eastAsia="zh-CN"/>
              </w:rPr>
              <w:t>日期：   年    月    日</w:t>
            </w:r>
          </w:p>
        </w:tc>
      </w:tr>
    </w:tbl>
    <w:p w14:paraId="71903EE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（四）</w:t>
      </w:r>
      <w:r>
        <w:rPr>
          <w:rFonts w:hint="eastAsia" w:ascii="仿宋_GB2312" w:hAnsi="仿宋_GB2312" w:eastAsia="仿宋_GB2312" w:cs="仿宋_GB2312"/>
          <w:sz w:val="28"/>
          <w:szCs w:val="36"/>
          <w:lang w:eastAsia="zh-CN"/>
        </w:rPr>
        <w:t>本协议一式</w:t>
      </w:r>
      <w:r>
        <w:rPr>
          <w:rFonts w:hint="eastAsia" w:ascii="仿宋_GB2312" w:hAnsi="仿宋_GB2312" w:eastAsia="仿宋_GB2312" w:cs="仿宋_GB2312"/>
          <w:sz w:val="28"/>
          <w:szCs w:val="36"/>
          <w:lang w:val="en-US" w:eastAsia="zh-CN"/>
        </w:rPr>
        <w:t>叁</w:t>
      </w:r>
      <w:r>
        <w:rPr>
          <w:rFonts w:hint="eastAsia" w:ascii="仿宋_GB2312" w:hAnsi="仿宋_GB2312" w:eastAsia="仿宋_GB2312" w:cs="仿宋_GB2312"/>
          <w:sz w:val="28"/>
          <w:szCs w:val="36"/>
          <w:lang w:eastAsia="zh-CN"/>
        </w:rPr>
        <w:t>份，甲乙双方各执</w:t>
      </w:r>
      <w:r>
        <w:rPr>
          <w:rFonts w:hint="eastAsia" w:ascii="仿宋_GB2312" w:hAnsi="仿宋_GB2312" w:eastAsia="仿宋_GB2312" w:cs="仿宋_GB2312"/>
          <w:sz w:val="28"/>
          <w:szCs w:val="36"/>
          <w:lang w:val="en-US" w:eastAsia="zh-CN"/>
        </w:rPr>
        <w:t>壹</w:t>
      </w:r>
      <w:r>
        <w:rPr>
          <w:rFonts w:hint="eastAsia" w:ascii="仿宋_GB2312" w:hAnsi="仿宋_GB2312" w:eastAsia="仿宋_GB2312" w:cs="仿宋_GB2312"/>
          <w:sz w:val="28"/>
          <w:szCs w:val="36"/>
          <w:lang w:eastAsia="zh-CN"/>
        </w:rPr>
        <w:t>份，报</w:t>
      </w:r>
      <w:r>
        <w:rPr>
          <w:rFonts w:hint="eastAsia" w:ascii="仿宋_GB2312" w:hAnsi="仿宋_GB2312" w:eastAsia="仿宋_GB2312" w:cs="仿宋_GB2312"/>
          <w:sz w:val="28"/>
          <w:szCs w:val="36"/>
          <w:lang w:val="en-US" w:eastAsia="zh-CN"/>
        </w:rPr>
        <w:t>泉州师范学院实习实训中心</w:t>
      </w:r>
      <w:r>
        <w:rPr>
          <w:rFonts w:hint="eastAsia" w:ascii="仿宋_GB2312" w:hAnsi="仿宋_GB2312" w:eastAsia="仿宋_GB2312" w:cs="仿宋_GB2312"/>
          <w:sz w:val="28"/>
          <w:szCs w:val="36"/>
          <w:lang w:eastAsia="zh-CN"/>
        </w:rPr>
        <w:t>存档壹份，</w:t>
      </w:r>
      <w:r>
        <w:rPr>
          <w:rFonts w:hint="eastAsia" w:ascii="仿宋_GB2312" w:hAnsi="仿宋_GB2312" w:eastAsia="仿宋_GB2312" w:cs="仿宋_GB2312"/>
          <w:sz w:val="28"/>
          <w:szCs w:val="36"/>
          <w:lang w:val="en-US" w:eastAsia="zh-CN"/>
        </w:rPr>
        <w:t>自双方签字、盖章之日生效。</w:t>
      </w:r>
    </w:p>
    <w:sectPr>
      <w:pgSz w:w="11906" w:h="16838"/>
      <w:pgMar w:top="1440" w:right="1531"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6CF084D-01BB-47EA-B3DD-246CD20D8CB9}"/>
  </w:font>
  <w:font w:name="仿宋_GB2312">
    <w:panose1 w:val="02010609030101010101"/>
    <w:charset w:val="86"/>
    <w:family w:val="auto"/>
    <w:pitch w:val="default"/>
    <w:sig w:usb0="00000001" w:usb1="080E0000" w:usb2="00000000" w:usb3="00000000" w:csb0="00040000" w:csb1="00000000"/>
    <w:embedRegular r:id="rId2" w:fontKey="{EA66AA17-E055-4895-A68B-08C656A3DD0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2IyYzI5MDA4OWMzZWJhNGQ0MjZmODg2NmYxMjkifQ=="/>
  </w:docVars>
  <w:rsids>
    <w:rsidRoot w:val="25BC034B"/>
    <w:rsid w:val="021B6BBC"/>
    <w:rsid w:val="042C19E6"/>
    <w:rsid w:val="076916F3"/>
    <w:rsid w:val="0C3615B6"/>
    <w:rsid w:val="10D4556C"/>
    <w:rsid w:val="118E6F94"/>
    <w:rsid w:val="15FA2BC8"/>
    <w:rsid w:val="1B5A5084"/>
    <w:rsid w:val="248C1D15"/>
    <w:rsid w:val="25BC034B"/>
    <w:rsid w:val="2A7D7F44"/>
    <w:rsid w:val="2ADA3809"/>
    <w:rsid w:val="33CF62A2"/>
    <w:rsid w:val="34711310"/>
    <w:rsid w:val="3526535E"/>
    <w:rsid w:val="3CBD2755"/>
    <w:rsid w:val="3FB37492"/>
    <w:rsid w:val="4C7B2254"/>
    <w:rsid w:val="53834ABF"/>
    <w:rsid w:val="55123806"/>
    <w:rsid w:val="56296730"/>
    <w:rsid w:val="57C06F46"/>
    <w:rsid w:val="59E4596B"/>
    <w:rsid w:val="5FD73297"/>
    <w:rsid w:val="62084042"/>
    <w:rsid w:val="63BE5A5D"/>
    <w:rsid w:val="65621B53"/>
    <w:rsid w:val="69B144C0"/>
    <w:rsid w:val="6AB303CD"/>
    <w:rsid w:val="6CD52274"/>
    <w:rsid w:val="6CF07C04"/>
    <w:rsid w:val="6E594548"/>
    <w:rsid w:val="708F2E79"/>
    <w:rsid w:val="70CD7E32"/>
    <w:rsid w:val="71121AD9"/>
    <w:rsid w:val="755350BD"/>
    <w:rsid w:val="78D544DC"/>
    <w:rsid w:val="78E11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autoRedefine/>
    <w:qFormat/>
    <w:uiPriority w:val="0"/>
  </w:style>
  <w:style w:type="character" w:styleId="10">
    <w:name w:val="HTML Variable"/>
    <w:basedOn w:val="5"/>
    <w:autoRedefine/>
    <w:qFormat/>
    <w:uiPriority w:val="0"/>
  </w:style>
  <w:style w:type="character" w:styleId="11">
    <w:name w:val="Hyperlink"/>
    <w:basedOn w:val="5"/>
    <w:autoRedefine/>
    <w:qFormat/>
    <w:uiPriority w:val="0"/>
    <w:rPr>
      <w:color w:val="0000FF"/>
      <w:u w:val="none"/>
    </w:rPr>
  </w:style>
  <w:style w:type="character" w:styleId="12">
    <w:name w:val="HTML Code"/>
    <w:basedOn w:val="5"/>
    <w:autoRedefine/>
    <w:qFormat/>
    <w:uiPriority w:val="0"/>
    <w:rPr>
      <w:rFonts w:ascii="Courier New" w:hAnsi="Courier New"/>
      <w:sz w:val="20"/>
    </w:rPr>
  </w:style>
  <w:style w:type="character" w:styleId="13">
    <w:name w:val="HTML Cite"/>
    <w:basedOn w:val="5"/>
    <w:autoRedefine/>
    <w:qFormat/>
    <w:uiPriority w:val="0"/>
  </w:style>
  <w:style w:type="character" w:customStyle="1" w:styleId="14">
    <w:name w:val="hover20"/>
    <w:basedOn w:val="5"/>
    <w:autoRedefine/>
    <w:qFormat/>
    <w:uiPriority w:val="0"/>
    <w:rPr>
      <w:color w:val="557EE7"/>
    </w:rPr>
  </w:style>
  <w:style w:type="character" w:customStyle="1" w:styleId="15">
    <w:name w:val="bsharetext"/>
    <w:basedOn w:val="5"/>
    <w:autoRedefine/>
    <w:qFormat/>
    <w:uiPriority w:val="0"/>
  </w:style>
  <w:style w:type="character" w:customStyle="1" w:styleId="16">
    <w:name w:val="icon2"/>
    <w:basedOn w:val="5"/>
    <w:autoRedefine/>
    <w:qFormat/>
    <w:uiPriority w:val="0"/>
  </w:style>
  <w:style w:type="character" w:customStyle="1" w:styleId="17">
    <w:name w:val="change-size"/>
    <w:basedOn w:val="5"/>
    <w:autoRedefine/>
    <w:qFormat/>
    <w:uiPriority w:val="0"/>
    <w:rPr>
      <w:color w:val="CC0000"/>
    </w:rPr>
  </w:style>
  <w:style w:type="character" w:customStyle="1" w:styleId="18">
    <w:name w:val="icon3"/>
    <w:basedOn w:val="5"/>
    <w:autoRedefine/>
    <w:qFormat/>
    <w:uiPriority w:val="0"/>
  </w:style>
  <w:style w:type="character" w:customStyle="1" w:styleId="19">
    <w:name w:val="icon12"/>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934</Words>
  <Characters>941</Characters>
  <Lines>0</Lines>
  <Paragraphs>0</Paragraphs>
  <TotalTime>0</TotalTime>
  <ScaleCrop>false</ScaleCrop>
  <LinksUpToDate>false</LinksUpToDate>
  <CharactersWithSpaces>1135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2019-10-09T01:09:00Z</dcterms:created>
  <dc:creator>肖文江</dc:creator>
  <cp:lastModifiedBy>刘芸芸</cp:lastModifiedBy>
  <cp:lastPrinted>2024-02-29T02:22:00Z</cp:lastPrinted>
  <dcterms:modified xsi:type="dcterms:W3CDTF">2024-10-24T06:28:58Z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DFF6E55385FC4307891F53CACAABDFAA</vt:lpwstr>
  </property>
</Properties>
</file>