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竞争性谈判文件</w:t>
      </w:r>
    </w:p>
    <w:p>
      <w:pPr>
        <w:pStyle w:val="null3"/>
        <w:jc w:val="center"/>
        <w:outlineLvl w:val="0"/>
      </w:pPr>
      <w:r>
        <w:rPr>
          <w:sz w:val="48"/>
          <w:b/>
        </w:rPr>
        <w:t>（货物类）</w:t>
      </w:r>
    </w:p>
    <w:p>
      <w:pPr>
        <w:pStyle w:val="null3"/>
        <w:jc w:val="center"/>
        <w:outlineLvl w:val="2"/>
      </w:pPr>
      <w:r>
        <w:rPr>
          <w:sz w:val="28"/>
          <w:b/>
        </w:rPr>
        <w:t>项目名称：</w:t>
      </w:r>
      <w:r>
        <w:rPr>
          <w:sz w:val="28"/>
          <w:b/>
        </w:rPr>
        <w:t>泉州师范学院数学与计算机科学学院机房计算机设备货物类采购项目</w:t>
      </w:r>
    </w:p>
    <w:p>
      <w:pPr>
        <w:pStyle w:val="null3"/>
        <w:jc w:val="center"/>
        <w:outlineLvl w:val="2"/>
      </w:pPr>
      <w:r>
        <w:rPr>
          <w:sz w:val="28"/>
          <w:b/>
        </w:rPr>
        <w:t>备案编号：</w:t>
      </w:r>
      <w:r>
        <w:rPr>
          <w:sz w:val="28"/>
          <w:b/>
        </w:rPr>
        <w:t>CGXM-2024-350501-00853[2024]00991</w:t>
      </w:r>
    </w:p>
    <w:p>
      <w:pPr>
        <w:pStyle w:val="null3"/>
        <w:jc w:val="center"/>
        <w:outlineLvl w:val="2"/>
      </w:pPr>
      <w:r>
        <w:rPr>
          <w:sz w:val="28"/>
          <w:b/>
        </w:rPr>
        <w:t>项目编号：</w:t>
      </w:r>
      <w:r>
        <w:rPr>
          <w:sz w:val="28"/>
          <w:b/>
        </w:rPr>
        <w:t>[350501]QZSCGZX[TP]2024005</w:t>
      </w:r>
    </w:p>
    <w:p>
      <w:pPr>
        <w:pStyle w:val="null3"/>
        <w:jc w:val="center"/>
        <w:outlineLvl w:val="2"/>
      </w:pPr>
      <w:r>
        <w:rPr>
          <w:sz w:val="28"/>
          <w:b/>
        </w:rPr>
        <w:t>采购人：</w:t>
      </w:r>
      <w:r>
        <w:rPr>
          <w:sz w:val="28"/>
          <w:b/>
        </w:rPr>
        <w:t>泉州师范学院</w:t>
      </w:r>
    </w:p>
    <w:p>
      <w:pPr>
        <w:pStyle w:val="null3"/>
        <w:jc w:val="center"/>
        <w:outlineLvl w:val="2"/>
      </w:pPr>
      <w:r>
        <w:rPr>
          <w:sz w:val="28"/>
          <w:b/>
        </w:rPr>
        <w:t>代理机构：</w:t>
      </w:r>
      <w:r>
        <w:rPr>
          <w:sz w:val="28"/>
          <w:b/>
        </w:rPr>
        <w:t>泉州市政府采购中心</w:t>
      </w:r>
    </w:p>
    <w:p>
      <w:pPr>
        <w:pStyle w:val="null3"/>
        <w:jc w:val="center"/>
        <w:outlineLvl w:val="2"/>
      </w:pPr>
      <w:r>
        <w:rPr>
          <w:sz w:val="28"/>
          <w:b/>
        </w:rPr>
        <w:t>编制时间</w:t>
      </w:r>
      <w:r>
        <w:rPr>
          <w:sz w:val="28"/>
          <w:b/>
        </w:rPr>
        <w:t>：</w:t>
      </w:r>
      <w:r>
        <w:rPr>
          <w:sz w:val="28"/>
          <w:b/>
        </w:rPr>
        <w:t>2024年07月</w:t>
      </w:r>
    </w:p>
    <w:p>
      <w:pPr>
        <w:pStyle w:val="null3"/>
      </w:pPr>
      <w:r>
        <w:rPr/>
        <w:t xml:space="preserve"> </w:t>
        <w:br/>
        <w:br w:type="page"/>
      </w:r>
    </w:p>
    <w:p>
      <w:pPr>
        <w:pStyle w:val="null3"/>
        <w:jc w:val="center"/>
        <w:outlineLvl w:val="1"/>
      </w:pPr>
      <w:r>
        <w:rPr>
          <w:sz w:val="36"/>
          <w:b/>
        </w:rPr>
        <w:t>第一章 采购公告/采购邀请书</w:t>
      </w:r>
    </w:p>
    <w:p>
      <w:pPr>
        <w:pStyle w:val="null3"/>
        <w:jc w:val="center"/>
      </w:pPr>
      <w:r>
        <w:rPr>
          <w:b/>
        </w:rPr>
        <w:t>竞争性谈判采购公告</w:t>
      </w:r>
    </w:p>
    <w:p>
      <w:pPr>
        <w:pStyle w:val="null3"/>
        <w:ind w:firstLine="960"/>
        <w:jc w:val="both"/>
      </w:pPr>
      <w:r>
        <w:rPr/>
        <w:t>泉州师范学院</w:t>
      </w:r>
      <w:r>
        <w:rPr/>
        <w:t xml:space="preserve"> 已根据政府采购相关法律法规，经相应程序确定采用 竞争性谈判 方式组织 </w:t>
      </w:r>
      <w:r>
        <w:rPr/>
        <w:t>泉州师范学院数学与计算机科学学院机房计算机设备货物类采购项目</w:t>
      </w:r>
      <w:r>
        <w:rPr/>
        <w:t xml:space="preserve"> 项目（以下简称：“本项目”）的政府采购活动， </w:t>
      </w:r>
      <w:r>
        <w:rPr/>
        <w:t>现欢迎国内合格的供应商前来参加。</w:t>
      </w:r>
      <w:r>
        <w:rPr/>
        <w:t xml:space="preserve"> 本项目由采购人委托 </w:t>
      </w:r>
      <w:r>
        <w:rPr/>
        <w:t>泉州市政府采购中心</w:t>
      </w:r>
      <w:r>
        <w:rPr/>
        <w:t xml:space="preserve"> 开展竞争性谈判活动。</w:t>
      </w:r>
    </w:p>
    <w:p>
      <w:pPr>
        <w:pStyle w:val="null3"/>
        <w:ind w:firstLine="480"/>
        <w:jc w:val="left"/>
        <w:outlineLvl w:val="2"/>
      </w:pPr>
      <w:r>
        <w:rPr>
          <w:sz w:val="28"/>
          <w:b/>
        </w:rPr>
        <w:t>1.项目名称</w:t>
      </w:r>
      <w:r>
        <w:rPr>
          <w:sz w:val="28"/>
          <w:b/>
        </w:rPr>
        <w:t xml:space="preserve">： </w:t>
      </w:r>
      <w:r>
        <w:rPr>
          <w:sz w:val="28"/>
          <w:b/>
        </w:rPr>
        <w:t>泉州师范学院数学与计算机科学学院机房计算机设备货物类采购项目</w:t>
      </w:r>
    </w:p>
    <w:p>
      <w:pPr>
        <w:pStyle w:val="null3"/>
        <w:ind w:firstLine="480"/>
        <w:jc w:val="left"/>
        <w:outlineLvl w:val="2"/>
      </w:pPr>
      <w:r>
        <w:rPr>
          <w:sz w:val="28"/>
          <w:b/>
        </w:rPr>
        <w:t>2.备案编号</w:t>
      </w:r>
      <w:r>
        <w:rPr>
          <w:sz w:val="28"/>
          <w:b/>
        </w:rPr>
        <w:t xml:space="preserve">： </w:t>
      </w:r>
      <w:r>
        <w:rPr>
          <w:sz w:val="28"/>
          <w:b/>
        </w:rPr>
        <w:t>CGXM-2024-350501-00853[2024]00991</w:t>
      </w:r>
    </w:p>
    <w:p>
      <w:pPr>
        <w:pStyle w:val="null3"/>
        <w:ind w:firstLine="480"/>
        <w:jc w:val="left"/>
        <w:outlineLvl w:val="2"/>
      </w:pPr>
      <w:r>
        <w:rPr>
          <w:sz w:val="28"/>
          <w:b/>
        </w:rPr>
        <w:t>3.项目编号</w:t>
      </w:r>
      <w:r>
        <w:rPr>
          <w:sz w:val="28"/>
          <w:b/>
        </w:rPr>
        <w:t xml:space="preserve">： </w:t>
      </w:r>
      <w:r>
        <w:rPr>
          <w:sz w:val="28"/>
          <w:b/>
        </w:rPr>
        <w:t>[350501]QZSCGZX[TP]2024005</w:t>
      </w:r>
    </w:p>
    <w:p>
      <w:pPr>
        <w:pStyle w:val="null3"/>
        <w:ind w:firstLine="480"/>
        <w:jc w:val="left"/>
        <w:outlineLvl w:val="2"/>
      </w:pPr>
      <w:r>
        <w:rPr>
          <w:sz w:val="28"/>
          <w:b/>
        </w:rPr>
        <w:t>4.采购内容及要求：</w:t>
      </w:r>
    </w:p>
    <w:p>
      <w:pPr>
        <w:pStyle w:val="null3"/>
        <w:ind w:firstLine="480"/>
        <w:jc w:val="both"/>
      </w:pPr>
      <w:r>
        <w:rPr/>
        <w:t>采购包1：</w:t>
      </w:r>
    </w:p>
    <w:p>
      <w:pPr>
        <w:pStyle w:val="null3"/>
        <w:jc w:val="both"/>
      </w:pPr>
      <w:r>
        <w:rPr/>
        <w:t>采购包预算金额（元）: 1,746,400.00</w:t>
      </w:r>
    </w:p>
    <w:p>
      <w:pPr>
        <w:pStyle w:val="null3"/>
        <w:jc w:val="both"/>
      </w:pPr>
      <w:r>
        <w:rPr/>
        <w:t>采购包最高限价（元）: 1,746,400.00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台式计算机</w:t>
            </w:r>
          </w:p>
        </w:tc>
        <w:tc>
          <w:tcPr>
            <w:tcW w:type="dxa" w:w="1187"/>
          </w:tcPr>
          <w:p>
            <w:pPr>
              <w:pStyle w:val="null3"/>
              <w:jc w:val="right"/>
            </w:pPr>
            <w:r>
              <w:rPr/>
              <w:t>189.00</w:t>
            </w:r>
          </w:p>
        </w:tc>
        <w:tc>
          <w:tcPr>
            <w:tcW w:type="dxa" w:w="1187"/>
          </w:tcPr>
          <w:p>
            <w:pPr>
              <w:pStyle w:val="null3"/>
              <w:jc w:val="right"/>
            </w:pPr>
            <w:r>
              <w:rPr/>
              <w:t>1,701,000.00</w:t>
            </w:r>
          </w:p>
        </w:tc>
        <w:tc>
          <w:tcPr>
            <w:tcW w:type="dxa" w:w="1187"/>
          </w:tcPr>
          <w:p>
            <w:pPr>
              <w:pStyle w:val="null3"/>
              <w:jc w:val="both"/>
            </w:pPr>
            <w:r>
              <w:rPr/>
              <w:t>台</w:t>
            </w:r>
          </w:p>
        </w:tc>
        <w:tc>
          <w:tcPr>
            <w:tcW w:type="dxa" w:w="1187"/>
          </w:tcPr>
          <w:p>
            <w:pPr>
              <w:pStyle w:val="null3"/>
              <w:jc w:val="both"/>
            </w:pPr>
            <w:r>
              <w:rPr/>
              <w:t>工业</w:t>
            </w:r>
          </w:p>
        </w:tc>
        <w:tc>
          <w:tcPr>
            <w:tcW w:type="dxa" w:w="1187"/>
          </w:tcPr>
          <w:p>
            <w:pPr>
              <w:pStyle w:val="null3"/>
              <w:jc w:val="both"/>
            </w:pPr>
            <w:r>
              <w:rPr/>
              <w:t>否</w:t>
            </w:r>
          </w:p>
        </w:tc>
      </w:tr>
      <w:tr>
        <w:tc>
          <w:tcPr>
            <w:tcW w:type="dxa" w:w="1187"/>
          </w:tcPr>
          <w:p>
            <w:pPr>
              <w:pStyle w:val="null3"/>
              <w:jc w:val="both"/>
            </w:pPr>
            <w:r>
              <w:rPr/>
              <w:t>2</w:t>
            </w:r>
          </w:p>
        </w:tc>
        <w:tc>
          <w:tcPr>
            <w:tcW w:type="dxa" w:w="1187"/>
          </w:tcPr>
          <w:p>
            <w:pPr>
              <w:pStyle w:val="null3"/>
              <w:jc w:val="both"/>
            </w:pPr>
            <w:r>
              <w:rPr/>
              <w:t>综合布线</w:t>
            </w:r>
          </w:p>
        </w:tc>
        <w:tc>
          <w:tcPr>
            <w:tcW w:type="dxa" w:w="1187"/>
          </w:tcPr>
          <w:p>
            <w:pPr>
              <w:pStyle w:val="null3"/>
              <w:jc w:val="right"/>
            </w:pPr>
            <w:r>
              <w:rPr/>
              <w:t>1.00</w:t>
            </w:r>
          </w:p>
        </w:tc>
        <w:tc>
          <w:tcPr>
            <w:tcW w:type="dxa" w:w="1187"/>
          </w:tcPr>
          <w:p>
            <w:pPr>
              <w:pStyle w:val="null3"/>
              <w:jc w:val="right"/>
            </w:pPr>
            <w:r>
              <w:rPr/>
              <w:t>45,400.00</w:t>
            </w:r>
          </w:p>
        </w:tc>
        <w:tc>
          <w:tcPr>
            <w:tcW w:type="dxa" w:w="1187"/>
          </w:tcPr>
          <w:p>
            <w:pPr>
              <w:pStyle w:val="null3"/>
              <w:jc w:val="both"/>
            </w:pPr>
            <w:r>
              <w:rPr/>
              <w:t>项</w:t>
            </w:r>
          </w:p>
        </w:tc>
        <w:tc>
          <w:tcPr>
            <w:tcW w:type="dxa" w:w="1187"/>
          </w:tcPr>
          <w:p>
            <w:pPr>
              <w:pStyle w:val="null3"/>
              <w:jc w:val="both"/>
            </w:pPr>
            <w:r>
              <w:rPr/>
              <w:t>其他未列明行业</w:t>
            </w:r>
          </w:p>
        </w:tc>
        <w:tc>
          <w:tcPr>
            <w:tcW w:type="dxa" w:w="1187"/>
          </w:tcPr>
          <w:p>
            <w:pPr>
              <w:pStyle w:val="null3"/>
              <w:jc w:val="both"/>
            </w:pPr>
            <w:r>
              <w:rPr/>
              <w:t>否</w:t>
            </w:r>
          </w:p>
        </w:tc>
      </w:tr>
    </w:tbl>
    <w:p>
      <w:pPr>
        <w:pStyle w:val="null3"/>
        <w:ind w:firstLine="480"/>
        <w:jc w:val="left"/>
        <w:outlineLvl w:val="2"/>
      </w:pPr>
      <w:r>
        <w:rPr>
          <w:sz w:val="28"/>
          <w:b/>
        </w:rPr>
        <w:t>5.采购项目需要落实的政府采购政策：</w:t>
      </w:r>
    </w:p>
    <w:p>
      <w:pPr>
        <w:pStyle w:val="null3"/>
        <w:ind w:firstLine="480"/>
        <w:jc w:val="both"/>
      </w:pPr>
      <w:r>
        <w:rPr/>
        <w:t>进口产品：</w:t>
      </w:r>
      <w:r>
        <w:rPr/>
        <w:t>适用于采购包1。</w:t>
      </w:r>
    </w:p>
    <w:p>
      <w:pPr>
        <w:pStyle w:val="null3"/>
        <w:ind w:firstLine="480"/>
        <w:jc w:val="both"/>
      </w:pPr>
      <w:r>
        <w:rPr/>
        <w:t>节能产品：</w:t>
      </w:r>
      <w:r>
        <w:rPr/>
        <w:t>适用于采购包1，按照财库[2019]19号文所附品目清单执行。</w:t>
      </w:r>
    </w:p>
    <w:p>
      <w:pPr>
        <w:pStyle w:val="null3"/>
        <w:ind w:firstLine="480"/>
        <w:jc w:val="both"/>
      </w:pPr>
      <w:r>
        <w:rPr/>
        <w:t>环境标志产品：</w:t>
      </w:r>
      <w:r>
        <w:rPr/>
        <w:t>适用于采购包1，按照财库[2019]18号文所附品目清单执行。</w:t>
      </w:r>
    </w:p>
    <w:p>
      <w:pPr>
        <w:pStyle w:val="null3"/>
        <w:ind w:firstLine="480"/>
        <w:jc w:val="both"/>
      </w:pPr>
      <w:r>
        <w:rPr/>
        <w:t>促进中小企业发展的相关政策：</w:t>
      </w:r>
    </w:p>
    <w:p>
      <w:pPr>
        <w:pStyle w:val="null3"/>
        <w:ind w:firstLine="480"/>
        <w:jc w:val="both"/>
      </w:pPr>
      <w:r>
        <w:rPr/>
        <w:t>采购包1：不专门面向中小企业采购</w:t>
      </w:r>
    </w:p>
    <w:p>
      <w:pPr>
        <w:pStyle w:val="null3"/>
        <w:ind w:firstLine="480"/>
        <w:jc w:val="left"/>
        <w:outlineLvl w:val="2"/>
      </w:pPr>
      <w:r>
        <w:rPr>
          <w:sz w:val="28"/>
          <w:b/>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8306"/>
            <w:gridSpan w:val="2"/>
          </w:tcPr>
          <w:p>
            <w:pPr>
              <w:pStyle w:val="null3"/>
              <w:jc w:val="both"/>
            </w:pPr>
            <w:r>
              <w:rPr/>
              <w:t xml:space="preserve"> 无</w:t>
            </w:r>
          </w:p>
        </w:tc>
      </w:tr>
    </w:tbl>
    <w:p>
      <w:pPr>
        <w:pStyle w:val="null3"/>
        <w:ind w:firstLine="960"/>
        <w:jc w:val="both"/>
      </w:pPr>
      <w:r>
        <w:rPr/>
        <w:t>6.3是否接受联合体形式的响应谈判：</w:t>
      </w:r>
    </w:p>
    <w:p>
      <w:pPr>
        <w:pStyle w:val="null3"/>
        <w:ind w:firstLine="480"/>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sz w:val="28"/>
          <w:b/>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sz w:val="28"/>
          <w:b/>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泉州师范学院</w:t>
      </w:r>
    </w:p>
    <w:p>
      <w:pPr>
        <w:pStyle w:val="null3"/>
        <w:ind w:firstLine="960"/>
        <w:jc w:val="left"/>
      </w:pPr>
      <w:r>
        <w:rPr/>
        <w:t xml:space="preserve"> 地址： </w:t>
      </w:r>
      <w:r>
        <w:rPr/>
        <w:t>泉州市丰泽区东海大街398号</w:t>
      </w:r>
    </w:p>
    <w:p>
      <w:pPr>
        <w:pStyle w:val="null3"/>
        <w:jc w:val="left"/>
      </w:pPr>
      <w:r>
        <w:rPr/>
        <w:t xml:space="preserve"> 邮编： </w:t>
      </w:r>
      <w:r>
        <w:rPr/>
        <w:t>362000</w:t>
      </w:r>
    </w:p>
    <w:p>
      <w:pPr>
        <w:pStyle w:val="null3"/>
        <w:jc w:val="left"/>
      </w:pPr>
      <w:r>
        <w:rPr/>
        <w:t xml:space="preserve"> 联系人： </w:t>
      </w:r>
      <w:r>
        <w:rPr/>
        <w:t>陈燕青</w:t>
      </w:r>
    </w:p>
    <w:p>
      <w:pPr>
        <w:pStyle w:val="null3"/>
        <w:jc w:val="left"/>
      </w:pPr>
      <w:r>
        <w:rPr/>
        <w:t xml:space="preserve"> 联系电话： </w:t>
      </w:r>
      <w:r>
        <w:rPr/>
        <w:t>059522919532</w:t>
      </w:r>
    </w:p>
    <w:p>
      <w:pPr>
        <w:pStyle w:val="null3"/>
        <w:ind w:firstLine="480"/>
        <w:jc w:val="left"/>
        <w:outlineLvl w:val="2"/>
      </w:pPr>
      <w:r>
        <w:rPr>
          <w:sz w:val="28"/>
          <w:b/>
        </w:rPr>
        <w:t>14.代理机构</w:t>
      </w:r>
      <w:r>
        <w:rPr>
          <w:sz w:val="28"/>
          <w:b/>
        </w:rPr>
        <w:t>：</w:t>
      </w:r>
      <w:r>
        <w:rPr>
          <w:sz w:val="28"/>
          <w:b/>
        </w:rPr>
        <w:t>泉州市政府采购中心</w:t>
      </w:r>
    </w:p>
    <w:p>
      <w:pPr>
        <w:pStyle w:val="null3"/>
        <w:ind w:firstLine="960"/>
        <w:jc w:val="left"/>
      </w:pPr>
      <w:r>
        <w:rPr/>
        <w:t xml:space="preserve"> 地址： </w:t>
      </w:r>
      <w:r>
        <w:rPr/>
        <w:t>泉州市丰泽区海星街100号泉州市政务服务中心四楼</w:t>
      </w:r>
    </w:p>
    <w:p>
      <w:pPr>
        <w:pStyle w:val="null3"/>
        <w:jc w:val="left"/>
      </w:pPr>
      <w:r>
        <w:rPr/>
        <w:t xml:space="preserve"> 邮编： </w:t>
      </w:r>
      <w:r>
        <w:rPr/>
        <w:t>362000</w:t>
      </w:r>
    </w:p>
    <w:p>
      <w:pPr>
        <w:pStyle w:val="null3"/>
        <w:jc w:val="left"/>
      </w:pPr>
      <w:r>
        <w:rPr/>
        <w:t xml:space="preserve"> 联系人： </w:t>
      </w:r>
      <w:r>
        <w:rPr/>
        <w:t>李远源</w:t>
      </w:r>
    </w:p>
    <w:p>
      <w:pPr>
        <w:pStyle w:val="null3"/>
        <w:jc w:val="left"/>
      </w:pPr>
      <w:r>
        <w:rPr/>
        <w:t xml:space="preserve"> 联系电话： </w:t>
      </w:r>
      <w:r>
        <w:rPr/>
        <w:t>059522132297</w:t>
      </w:r>
    </w:p>
    <w:p>
      <w:pPr>
        <w:pStyle w:val="null3"/>
        <w:ind w:firstLine="480"/>
        <w:jc w:val="left"/>
        <w:outlineLvl w:val="2"/>
      </w:pPr>
      <w:r>
        <w:rPr>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泉州市政府采购中心</w:t>
            </w:r>
          </w:p>
        </w:tc>
      </w:tr>
      <w:tr>
        <w:tc>
          <w:tcPr>
            <w:tcW w:type="dxa" w:w="8306"/>
          </w:tcPr>
          <w:p>
            <w:pPr>
              <w:pStyle w:val="null3"/>
              <w:jc w:val="left"/>
            </w:pPr>
            <w:r>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t xml:space="preserve"> </w:t>
        <w:br/>
        <w:br w:type="page"/>
      </w:r>
    </w:p>
    <w:p>
      <w:pPr>
        <w:pStyle w:val="null3"/>
        <w:jc w:val="center"/>
        <w:outlineLvl w:val="1"/>
      </w:pPr>
      <w:r>
        <w:rPr>
          <w:sz w:val="36"/>
          <w:b/>
        </w:rPr>
        <w:t>第二章 竞争性谈判须知</w:t>
      </w:r>
    </w:p>
    <w:p>
      <w:pPr>
        <w:pStyle w:val="null3"/>
        <w:jc w:val="center"/>
        <w:outlineLvl w:val="2"/>
      </w:pPr>
      <w:r>
        <w:rPr>
          <w:sz w:val="28"/>
          <w:b/>
        </w:rPr>
        <w:t>第1节 竞争性谈判须知前附表（表1、表2）</w:t>
      </w:r>
    </w:p>
    <w:p>
      <w:pPr>
        <w:pStyle w:val="null3"/>
        <w:jc w:val="center"/>
      </w:pPr>
      <w:r>
        <w:rPr>
          <w:b/>
        </w:rPr>
        <w:t>一、竞争性谈判须知前附表1</w:t>
      </w:r>
    </w:p>
    <w:p>
      <w:pPr>
        <w:pStyle w:val="null3"/>
        <w:ind w:firstLine="480"/>
        <w:jc w:val="both"/>
      </w:pPr>
      <w:r>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供应商的资格要求：见谈判文件第一章“采购公告/采购邀请书”</w:t>
            </w:r>
          </w:p>
          <w:p>
            <w:pPr>
              <w:pStyle w:val="null3"/>
              <w:jc w:val="left"/>
            </w:pPr>
            <w:r>
              <w:rPr/>
              <w:t xml:space="preserve"> 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t xml:space="preserve"> 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2553"/>
                  <w:gridSpan w:val="2"/>
                </w:tcPr>
                <w:p>
                  <w:pPr>
                    <w:pStyle w:val="null3"/>
                    <w:jc w:val="left"/>
                  </w:pPr>
                  <w:r>
                    <w:rPr/>
                    <w:t xml:space="preserve"> 无</w:t>
                  </w:r>
                </w:p>
              </w:tc>
            </w:tr>
          </w:tbl>
          <w:p>
            <w:pPr>
              <w:pStyle w:val="null3"/>
              <w:jc w:val="left"/>
            </w:pPr>
            <w:r>
              <w:rPr/>
              <w:t xml:space="preserve"> （3）谈判保证金</w:t>
            </w:r>
          </w:p>
          <w:p>
            <w:pPr>
              <w:pStyle w:val="null3"/>
              <w:jc w:val="left"/>
            </w:pPr>
            <w:r>
              <w:rPr/>
              <w:t xml:space="preserve"> ※备注说明</w:t>
            </w:r>
          </w:p>
          <w:p>
            <w:pPr>
              <w:pStyle w:val="null3"/>
              <w:jc w:val="left"/>
            </w:pPr>
            <w:r>
              <w:rPr/>
              <w:t xml:space="preserve"> ①供应商应根据自身实际情况提供上述资格要求的证明材料，格式可参考谈判文件第五章提供。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是否接受联合体形式的响应谈判：详见第一章供应商的资格要求的6.3</w:t>
            </w:r>
          </w:p>
        </w:tc>
      </w:tr>
      <w:tr>
        <w:tc>
          <w:tcPr>
            <w:tcW w:type="dxa" w:w="2769"/>
          </w:tcPr>
          <w:p>
            <w:pPr>
              <w:pStyle w:val="null3"/>
              <w:jc w:val="left"/>
            </w:pPr>
            <w:r>
              <w:rPr/>
              <w:t>3</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180</w:t>
            </w:r>
            <w:r>
              <w:rPr/>
              <w:t xml:space="preserve"> 个日历日。</w:t>
            </w:r>
          </w:p>
        </w:tc>
      </w:tr>
      <w:tr>
        <w:tc>
          <w:tcPr>
            <w:tcW w:type="dxa" w:w="2769"/>
          </w:tcPr>
          <w:p>
            <w:pPr>
              <w:pStyle w:val="null3"/>
              <w:jc w:val="left"/>
            </w:pPr>
            <w:r>
              <w:rPr/>
              <w:t>4</w:t>
            </w:r>
          </w:p>
        </w:tc>
        <w:tc>
          <w:tcPr>
            <w:tcW w:type="dxa" w:w="2769"/>
          </w:tcPr>
          <w:p>
            <w:pPr>
              <w:pStyle w:val="null3"/>
              <w:jc w:val="left"/>
            </w:pPr>
            <w:r>
              <w:rPr/>
              <w:t>10.3.1</w:t>
            </w:r>
          </w:p>
        </w:tc>
        <w:tc>
          <w:tcPr>
            <w:tcW w:type="dxa" w:w="2769"/>
          </w:tcPr>
          <w:p>
            <w:pPr>
              <w:pStyle w:val="null3"/>
              <w:jc w:val="left"/>
            </w:pPr>
            <w:r>
              <w:rPr/>
              <w:t>谈判保证金退还的其它要求：</w:t>
            </w:r>
          </w:p>
          <w:p>
            <w:pPr>
              <w:pStyle w:val="null3"/>
              <w:jc w:val="left"/>
            </w:pPr>
            <w:r>
              <w:rPr/>
              <w:t>无</w:t>
            </w:r>
          </w:p>
        </w:tc>
      </w:tr>
      <w:tr>
        <w:tc>
          <w:tcPr>
            <w:tcW w:type="dxa" w:w="2769"/>
          </w:tcPr>
          <w:p>
            <w:pPr>
              <w:pStyle w:val="null3"/>
              <w:jc w:val="left"/>
            </w:pPr>
            <w:r>
              <w:rPr/>
              <w:t>5</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（2）电子响应文件：详见表2《关于电子竞争性谈判活动的专门规定》</w:t>
            </w:r>
          </w:p>
        </w:tc>
      </w:tr>
      <w:tr>
        <w:tc>
          <w:tcPr>
            <w:tcW w:type="dxa" w:w="2769"/>
          </w:tcPr>
          <w:p>
            <w:pPr>
              <w:pStyle w:val="null3"/>
              <w:jc w:val="left"/>
            </w:pPr>
            <w:r>
              <w:rPr/>
              <w:t>6</w:t>
            </w:r>
          </w:p>
        </w:tc>
        <w:tc>
          <w:tcPr>
            <w:tcW w:type="dxa" w:w="2769"/>
          </w:tcPr>
          <w:p>
            <w:pPr>
              <w:pStyle w:val="null3"/>
              <w:jc w:val="left"/>
            </w:pPr>
            <w:r>
              <w:rPr/>
              <w:t>14.4</w:t>
            </w:r>
          </w:p>
        </w:tc>
        <w:tc>
          <w:tcPr>
            <w:tcW w:type="dxa" w:w="2769"/>
          </w:tcPr>
          <w:p>
            <w:pPr>
              <w:pStyle w:val="null3"/>
              <w:jc w:val="left"/>
            </w:pPr>
            <w:r>
              <w:rPr/>
              <w:t>谈判过程中可能发生实质性变动的内容：</w:t>
            </w:r>
          </w:p>
          <w:p>
            <w:pPr>
              <w:pStyle w:val="null3"/>
              <w:jc w:val="left"/>
            </w:pPr>
            <w:r>
              <w:rPr/>
              <w:t>根据谈判现场实际情况确定</w:t>
            </w:r>
          </w:p>
        </w:tc>
      </w:tr>
      <w:tr>
        <w:tc>
          <w:tcPr>
            <w:tcW w:type="dxa" w:w="2769"/>
          </w:tcPr>
          <w:p>
            <w:pPr>
              <w:pStyle w:val="null3"/>
              <w:jc w:val="left"/>
            </w:pPr>
            <w:r>
              <w:rPr/>
              <w:t>7</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8</w:t>
            </w:r>
          </w:p>
        </w:tc>
        <w:tc>
          <w:tcPr>
            <w:tcW w:type="dxa" w:w="2769"/>
          </w:tcPr>
          <w:p>
            <w:pPr>
              <w:pStyle w:val="null3"/>
              <w:jc w:val="left"/>
            </w:pPr>
            <w:r>
              <w:rPr/>
              <w:t>23.1</w:t>
            </w:r>
          </w:p>
        </w:tc>
        <w:tc>
          <w:tcPr>
            <w:tcW w:type="dxa" w:w="2769"/>
          </w:tcPr>
          <w:p>
            <w:pPr>
              <w:pStyle w:val="null3"/>
              <w:jc w:val="left"/>
            </w:pPr>
            <w:r>
              <w:rPr/>
              <w:t xml:space="preserve">本项目监督管理部门： </w:t>
            </w:r>
            <w:r>
              <w:rPr/>
              <w:t>泉州市财政局政府采购监督管理办公室</w:t>
            </w:r>
          </w:p>
        </w:tc>
      </w:tr>
      <w:tr>
        <w:tc>
          <w:tcPr>
            <w:tcW w:type="dxa" w:w="2769"/>
          </w:tcPr>
          <w:p>
            <w:pPr>
              <w:pStyle w:val="null3"/>
              <w:jc w:val="left"/>
            </w:pPr>
            <w:r>
              <w:rPr/>
              <w:t>9</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本项目不收取代理服务费</w:t>
            </w:r>
          </w:p>
          <w:p>
            <w:pPr>
              <w:pStyle w:val="null3"/>
              <w:jc w:val="left"/>
            </w:pPr>
            <w:r>
              <w:rPr/>
              <w:t xml:space="preserve"> (2)其他：</w:t>
            </w:r>
          </w:p>
          <w:p>
            <w:pPr>
              <w:pStyle w:val="null3"/>
              <w:jc w:val="left"/>
            </w:pPr>
            <w:r>
              <w:rPr/>
              <w:t>参加谈判活动的供应商代表务必携带供应商的CA证书及相关设备，按时到达规定的谈判地点，在文件解密、签章、再次报价等环节使用自行携带的设备进行解密、签章、报价等操作，并根据谈判小组的要求和安排配合相应谈判工作直至结束。响应文件解密、签章、再次报价均临时开启，请各供应商在谈判开启后密切关注，否则后果由供应商自行负责。响应文件解密时间为20分钟，逾期未解密视为放弃参与谈判；签章时间为5分钟，逾期未签视为认同谈判开启环节；再次报价时间由谈判小组评审时确定，逾期未报价视为放弃报价。谈判现场不单独提供解密、签章、报价时所需的网络环境、设备等。</w:t>
            </w:r>
          </w:p>
        </w:tc>
      </w:tr>
      <w:tr>
        <w:tc>
          <w:tcPr>
            <w:tcW w:type="dxa" w:w="2769"/>
          </w:tcPr>
          <w:p>
            <w:pPr>
              <w:pStyle w:val="null3"/>
              <w:jc w:val="left"/>
            </w:pPr>
            <w:r>
              <w:rPr/>
              <w:t>10</w:t>
            </w:r>
          </w:p>
        </w:tc>
        <w:tc>
          <w:tcPr>
            <w:tcW w:type="dxa" w:w="2769"/>
          </w:tcP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 xml:space="preserve">合同签订时限： </w:t>
            </w:r>
            <w:r>
              <w:rPr/>
              <w:t>自中标通知书发出之日起20个日历日内。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t>关于电子竞争性谈判活动的专门规定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（1）电子竞争性谈判活动的专门规定适用于本项目。</w:t>
            </w:r>
          </w:p>
          <w:p>
            <w:pPr>
              <w:pStyle w:val="null3"/>
              <w:jc w:val="left"/>
            </w:pPr>
            <w:r>
              <w:rPr/>
              <w:t>（2）将谈判文件</w:t>
            </w:r>
          </w:p>
          <w:p>
            <w:pPr>
              <w:pStyle w:val="null3"/>
              <w:jc w:val="left"/>
            </w:pPr>
            <w:r>
              <w:rPr/>
              <w:t>无</w:t>
            </w:r>
            <w:r>
              <w:rPr/>
              <w:t xml:space="preserve"> 的内容修正为下列内容：</w:t>
            </w:r>
          </w:p>
          <w:p>
            <w:pPr>
              <w:pStyle w:val="null3"/>
              <w:jc w:val="left"/>
            </w:pPr>
            <w:r>
              <w:rPr/>
              <w:t>无</w:t>
            </w:r>
            <w:r>
              <w:rPr/>
              <w:t xml:space="preserve"> 后适用本项目的电子竞争性谈判活动。</w:t>
            </w:r>
          </w:p>
          <w:p>
            <w:pPr>
              <w:pStyle w:val="null3"/>
              <w:jc w:val="left"/>
            </w:pPr>
            <w:r>
              <w:rPr/>
              <w:t>（3）将下列内容增列为谈判文件的组成部分（以下简称：“增列内容”）适用本项目的电子竞争性谈判活动，若增列内容与谈判文件其他章节内容不一致，应以增列内容为准：</w:t>
            </w:r>
          </w:p>
          <w:p>
            <w:pPr>
              <w:pStyle w:val="null3"/>
              <w:jc w:val="left"/>
            </w:pPr>
            <w:r>
              <w:rPr/>
              <w:t>①电子竞争性谈判活动的具体操作流程以福建省政府采购网上公开信息系统设定的为准。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⑤供应商应按照福建省政府采购网上公开信息系统要求的评审节点编制电子响应文件，否则谈判小组将按照不利于供应商的内容进行认定。</w:t>
            </w:r>
          </w:p>
          <w:p>
            <w:pPr>
              <w:pStyle w:val="null3"/>
              <w:jc w:val="left"/>
            </w:pPr>
            <w:r>
              <w:rPr/>
              <w:t>⑥关于证明材料或资料：</w:t>
            </w:r>
          </w:p>
          <w:p>
            <w:pPr>
              <w:pStyle w:val="null3"/>
              <w:jc w:val="left"/>
            </w:pPr>
            <w:r>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t>⑨参加谈判活动的供应商代表务必携带供应商的CA证书。供应商的CA证书应能正常、有效使用，否则产生不利后果由供应商承担责任。</w:t>
            </w:r>
          </w:p>
          <w:p>
            <w:pPr>
              <w:pStyle w:val="null3"/>
              <w:jc w:val="left"/>
            </w:pPr>
            <w:r>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t>有下列情形之一的，供应商的响应无效，其保证金不予退还或通过保函进行索赔：</w:t>
            </w:r>
          </w:p>
          <w:p>
            <w:pPr>
              <w:pStyle w:val="null3"/>
              <w:jc w:val="left"/>
            </w:pPr>
            <w:r>
              <w:rPr/>
              <w:t>b1不同供应商的电子响应文件具有相同内部识别码；</w:t>
            </w:r>
          </w:p>
          <w:p>
            <w:pPr>
              <w:pStyle w:val="null3"/>
              <w:jc w:val="left"/>
            </w:pPr>
            <w:r>
              <w:rPr/>
              <w:t>b2不同供应商的报价保证金从同一单位或个人的账户转出；</w:t>
            </w:r>
          </w:p>
          <w:p>
            <w:pPr>
              <w:pStyle w:val="null3"/>
              <w:jc w:val="left"/>
            </w:pPr>
            <w:r>
              <w:rPr/>
              <w:t>b3供应商的报价保证金同一合同项下有其他供应商提交的报价保证金。</w:t>
            </w:r>
          </w:p>
          <w:p>
            <w:pPr>
              <w:pStyle w:val="null3"/>
              <w:jc w:val="left"/>
            </w:pPr>
            <w:r>
              <w:rPr/>
              <w:t>(12)其他：</w:t>
            </w:r>
          </w:p>
          <w:p>
            <w:pPr>
              <w:pStyle w:val="null3"/>
              <w:jc w:val="left"/>
            </w:pPr>
            <w:r>
              <w:rPr/>
              <w:t>无</w:t>
            </w:r>
          </w:p>
          <w:p>
            <w:pPr>
              <w:pStyle w:val="null3"/>
              <w:jc w:val="left"/>
            </w:pPr>
            <w:r>
              <w:rPr/>
              <w:t>（与电子竞争性谈判活动有关的其他规定或补充内容可在此处填写）。</w:t>
            </w:r>
          </w:p>
        </w:tc>
      </w:tr>
    </w:tbl>
    <w:p>
      <w:pPr>
        <w:pStyle w:val="null3"/>
        <w:jc w:val="center"/>
        <w:outlineLvl w:val="2"/>
      </w:pPr>
      <w:r>
        <w:rPr>
          <w:sz w:val="28"/>
          <w:b/>
        </w:rPr>
        <w:t>专项附件： 评定成交的标准和方法</w:t>
      </w:r>
    </w:p>
    <w:p>
      <w:pPr>
        <w:pStyle w:val="null3"/>
        <w:jc w:val="center"/>
        <w:outlineLvl w:val="2"/>
      </w:pPr>
      <w:r>
        <w:rPr>
          <w:sz w:val="28"/>
          <w:b/>
        </w:rPr>
        <w:t>一、谈判小组</w:t>
      </w:r>
    </w:p>
    <w:p>
      <w:pPr>
        <w:pStyle w:val="null3"/>
        <w:ind w:firstLine="480"/>
        <w:jc w:val="both"/>
      </w:pPr>
      <w:r>
        <w:rPr/>
        <w:t>1.1采购人根据项目的特点依法组建谈判小组。</w:t>
      </w:r>
    </w:p>
    <w:p>
      <w:pPr>
        <w:pStyle w:val="null3"/>
        <w:ind w:firstLine="480"/>
        <w:jc w:val="both"/>
      </w:pPr>
      <w:r>
        <w:rPr/>
        <w:t>1.2谈判小组</w:t>
      </w:r>
    </w:p>
    <w:p>
      <w:pPr>
        <w:pStyle w:val="null3"/>
        <w:ind w:firstLine="480"/>
        <w:jc w:val="left"/>
      </w:pPr>
      <w:r>
        <w:rPr/>
        <w:t>由采购人代表和评审专家两部分共3人组成，</w:t>
      </w:r>
      <w:r>
        <w:rPr/>
        <w:t>其中由福建省政府采购评审专家库产生的评审专家2人，</w:t>
      </w:r>
      <w:r>
        <w:rPr/>
        <w:t>由采购人派出的采购人代表1人。</w:t>
      </w:r>
      <w:r>
        <w:rPr/>
        <w:t>达到公开招标数额标准的货物或者服务采购项目，或者达到招标规模标准的政府采购工程，竞争性谈判小组应当由5人或以上单数组成。</w:t>
      </w:r>
    </w:p>
    <w:p>
      <w:pPr>
        <w:pStyle w:val="null3"/>
        <w:ind w:firstLine="480"/>
        <w:jc w:val="both"/>
      </w:pPr>
      <w:r>
        <w:rPr/>
        <w:t>1.3谈判小组负责具体谈判和评审事务，并按照下列原则依法独立履行有关职责：</w:t>
      </w:r>
    </w:p>
    <w:p>
      <w:pPr>
        <w:pStyle w:val="null3"/>
        <w:ind w:firstLine="960"/>
        <w:jc w:val="both"/>
      </w:pPr>
      <w:r>
        <w:rPr/>
        <w:t>1.3.1评审应保护国家利益、社会公共利益和各方当事人合法权益，提高采购效益，保证项目质量。</w:t>
      </w:r>
    </w:p>
    <w:p>
      <w:pPr>
        <w:pStyle w:val="null3"/>
        <w:ind w:firstLine="960"/>
        <w:jc w:val="both"/>
      </w:pPr>
      <w:r>
        <w:rPr/>
        <w:t>1.3.2评审应遵循公平、公正、科学、严谨和择优原则。</w:t>
      </w:r>
    </w:p>
    <w:p>
      <w:pPr>
        <w:pStyle w:val="null3"/>
        <w:ind w:firstLine="960"/>
        <w:jc w:val="both"/>
      </w:pPr>
      <w:r>
        <w:rPr/>
        <w:t>1.3.3评审的依据是谈判文件和响应文件，谈判文件中没有规定的评审标准不得作为评审依据。</w:t>
      </w:r>
    </w:p>
    <w:p>
      <w:pPr>
        <w:pStyle w:val="null3"/>
        <w:ind w:firstLine="960"/>
        <w:jc w:val="both"/>
      </w:pPr>
      <w:r>
        <w:rPr/>
        <w:t>1.3.4谈判小组应按照谈判文件规定推荐成交候选供应商或根据采购人的授权确定成交供应商。</w:t>
      </w:r>
    </w:p>
    <w:p>
      <w:pPr>
        <w:pStyle w:val="null3"/>
        <w:ind w:firstLine="960"/>
        <w:jc w:val="both"/>
      </w:pPr>
      <w:r>
        <w:rPr/>
        <w:t>1.3.5评审应遵守下列评审纪律：</w:t>
      </w:r>
    </w:p>
    <w:p>
      <w:pPr>
        <w:pStyle w:val="null3"/>
        <w:ind w:firstLine="960"/>
        <w:jc w:val="both"/>
      </w:pPr>
      <w:r>
        <w:rPr/>
        <w:t>①评审情况不得私自外泄，有关信息由采购人或其委托的代理机构统一对外发布。</w:t>
      </w:r>
    </w:p>
    <w:p>
      <w:pPr>
        <w:pStyle w:val="null3"/>
        <w:ind w:firstLine="960"/>
        <w:jc w:val="both"/>
      </w:pPr>
      <w:r>
        <w:rPr/>
        <w:t>②对采购人或供应商提供的要求保密的资料，不得摘记翻印和外传。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④全体谈判小组成员应按照谈判文件规定进行评审，一切认定事项应查有实据且不得弄虚作假。</w:t>
      </w:r>
    </w:p>
    <w:p>
      <w:pPr>
        <w:pStyle w:val="null3"/>
        <w:ind w:firstLine="960"/>
        <w:jc w:val="both"/>
      </w:pPr>
      <w:r>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sz w:val="28"/>
          <w:b/>
        </w:rPr>
        <w:t>二、谈判程序</w:t>
      </w:r>
    </w:p>
    <w:p>
      <w:pPr>
        <w:pStyle w:val="null3"/>
        <w:ind w:firstLine="480"/>
        <w:jc w:val="both"/>
      </w:pPr>
      <w:r>
        <w:rPr/>
        <w:t>2.1谈判程序按照谈判文件第二章第2节“竞争性谈判须知”第14条“谈判程序以及评定成交的标准”的相关条款规定执行。</w:t>
      </w:r>
    </w:p>
    <w:p>
      <w:pPr>
        <w:pStyle w:val="null3"/>
        <w:ind w:firstLine="480"/>
        <w:jc w:val="both"/>
      </w:pPr>
      <w:r>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t>无</w:t>
      </w:r>
    </w:p>
    <w:p>
      <w:pPr>
        <w:pStyle w:val="null3"/>
        <w:ind w:firstLine="480"/>
        <w:jc w:val="both"/>
      </w:pPr>
      <w:r>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t>2.3只有资格审查和实质性响应审查均合格且按规定提交最后报价的合格供应商才能参加评定成交的最后价格排序和成交候选人推荐。</w:t>
      </w:r>
    </w:p>
    <w:p>
      <w:pPr>
        <w:pStyle w:val="null3"/>
        <w:jc w:val="center"/>
        <w:outlineLvl w:val="2"/>
      </w:pPr>
      <w:r>
        <w:rPr>
          <w:sz w:val="28"/>
          <w:b/>
        </w:rPr>
        <w:t>三、最低评审价法和成交候选人推荐</w:t>
      </w:r>
    </w:p>
    <w:p>
      <w:pPr>
        <w:pStyle w:val="null3"/>
        <w:ind w:firstLine="480"/>
        <w:jc w:val="both"/>
      </w:pPr>
      <w:r>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t>3.1.1根据财政部及福建省财政厅等有关政府采购文件规定执行价格评审优惠政策，价格扣除规则如下：</w:t>
      </w:r>
    </w:p>
    <w:p>
      <w:pPr>
        <w:pStyle w:val="null3"/>
        <w:jc w:val="left"/>
      </w:pPr>
      <w:r>
        <w:rPr/>
        <w:t>采购包1：最低评标价法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投标人或者联合体均为小型、微型企业</w:t>
            </w:r>
          </w:p>
        </w:tc>
        <w:tc>
          <w:tcPr>
            <w:tcW w:type="dxa" w:w="831"/>
          </w:tcPr>
          <w:p>
            <w:pPr>
              <w:pStyle w:val="null3"/>
              <w:jc w:val="right"/>
            </w:pPr>
            <w:r>
              <w:rPr/>
              <w:t>15.0000%</w:t>
            </w:r>
          </w:p>
        </w:tc>
        <w:tc>
          <w:tcPr>
            <w:tcW w:type="dxa" w:w="4153"/>
          </w:tcPr>
          <w:p>
            <w:pPr>
              <w:pStyle w:val="null3"/>
              <w:jc w:val="left"/>
            </w:pPr>
            <w:r>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ind w:firstLine="960"/>
        <w:jc w:val="both"/>
      </w:pPr>
      <w:r>
        <w:rPr/>
        <w:t>c.其他：</w:t>
      </w:r>
    </w:p>
    <w:p>
      <w:pPr>
        <w:pStyle w:val="null3"/>
        <w:jc w:val="both"/>
      </w:pPr>
      <w:r>
        <w:rPr/>
        <w:t>无</w:t>
      </w:r>
    </w:p>
    <w:p>
      <w:pPr>
        <w:pStyle w:val="null3"/>
        <w:ind w:firstLine="960"/>
        <w:jc w:val="both"/>
      </w:pPr>
      <w:r>
        <w:rPr/>
        <w:t>3.1.2合格供应商提交的最后报价按照上文3.1.1款规定的价格扣除规则计算后，得出的价格称为最后报价评审价。</w:t>
      </w:r>
    </w:p>
    <w:p>
      <w:pPr>
        <w:pStyle w:val="null3"/>
        <w:ind w:firstLine="960"/>
        <w:jc w:val="left"/>
      </w:pPr>
      <w:r>
        <w:rPr/>
        <w:t xml:space="preserve">3.1.3 </w:t>
      </w:r>
      <w:r>
        <w:rPr/>
        <w:t>谈判小组将从质量和服务均能满足采购文件实质性响应要求的供应商中，按照最后报价评审价由低到高的顺序提出3名以上成交候选人，并编写评审报告。</w:t>
      </w:r>
      <w:r>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t>（1）谈判文件可以约定出现并列最低评审价情形时的优先顺序规则，具体规则为：</w:t>
      </w:r>
    </w:p>
    <w:p>
      <w:pPr>
        <w:pStyle w:val="null3"/>
        <w:jc w:val="left"/>
      </w:pPr>
      <w:r>
        <w:rPr/>
        <w:t>若最低评审价相同，则报价产品拥有节能、减排、环境标志认证数量最多的供 应商将被推荐为成交候选供 应商，若拥有认证数量相同，则谈判小组按报价产品的技术指标、供 应商综合实力、售后服务方案等排序推荐成交候选供 应商，仍无法确定的，则通过抽签方式推荐成交候选供 应商。</w:t>
      </w:r>
    </w:p>
    <w:p>
      <w:pPr>
        <w:pStyle w:val="null3"/>
        <w:ind w:firstLine="960"/>
        <w:jc w:val="both"/>
      </w:pPr>
      <w:r>
        <w:rPr/>
        <w:t>（2）谈判文件未约定优先顺序规则时，则由谈判小组中的采购人代表从并列最低评审价名单中自行选择确定优先顺序</w:t>
      </w:r>
    </w:p>
    <w:p>
      <w:pPr>
        <w:pStyle w:val="null3"/>
        <w:ind w:firstLine="960"/>
        <w:jc w:val="both"/>
      </w:pPr>
      <w:r>
        <w:rPr/>
        <w:t>（3）采购人代表放弃自行选择确定权利的，则通过随机抽取方式确定优先顺序。</w:t>
      </w:r>
    </w:p>
    <w:p>
      <w:pPr>
        <w:pStyle w:val="null3"/>
        <w:jc w:val="center"/>
        <w:outlineLvl w:val="2"/>
      </w:pPr>
      <w:r>
        <w:rPr>
          <w:sz w:val="28"/>
          <w:b/>
        </w:rPr>
        <w:t>四、评审报告</w:t>
      </w:r>
    </w:p>
    <w:p>
      <w:pPr>
        <w:pStyle w:val="null3"/>
        <w:ind w:firstLine="480"/>
        <w:jc w:val="both"/>
      </w:pPr>
      <w:r>
        <w:rPr/>
        <w:t>4.1谈判小组完成评审后，应当编写评审报告并提交给采购人。</w:t>
      </w:r>
    </w:p>
    <w:p>
      <w:pPr>
        <w:pStyle w:val="null3"/>
        <w:ind w:firstLine="480"/>
        <w:jc w:val="both"/>
      </w:pPr>
      <w:r>
        <w:rPr/>
        <w:t>4.2评审报告应当包括以下主要内容：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（二）评审日期和地点，谈判小组成员名单；</w:t>
      </w:r>
    </w:p>
    <w:p>
      <w:pPr>
        <w:pStyle w:val="null3"/>
        <w:ind w:firstLine="480"/>
        <w:jc w:val="both"/>
      </w:pPr>
      <w:r>
        <w:rPr/>
        <w:t>（三）评审情况记录和说明，包括对供应商的资格审查情况、供应商响应文件评审情况、谈判情况、报价情况等；</w:t>
      </w:r>
    </w:p>
    <w:p>
      <w:pPr>
        <w:pStyle w:val="null3"/>
        <w:ind w:firstLine="480"/>
        <w:jc w:val="both"/>
      </w:pPr>
      <w:r>
        <w:rPr/>
        <w:t>（四）提出的成交候选人的名单及理由。</w:t>
      </w:r>
    </w:p>
    <w:p>
      <w:pPr>
        <w:pStyle w:val="null3"/>
        <w:ind w:firstLine="480"/>
        <w:jc w:val="both"/>
      </w:pPr>
      <w:r>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both"/>
      </w:pPr>
      <w:r>
        <w:rPr/>
        <w:t>5.1其他规定</w:t>
      </w:r>
    </w:p>
    <w:p>
      <w:pPr>
        <w:pStyle w:val="null3"/>
        <w:ind w:firstLine="960"/>
        <w:jc w:val="both"/>
      </w:pPr>
      <w:r>
        <w:rPr/>
        <w:t>5.1.1评审应全程保密且不得透露给任一供应商或与评审工作无关的人员。</w:t>
      </w:r>
    </w:p>
    <w:p>
      <w:pPr>
        <w:pStyle w:val="null3"/>
        <w:ind w:firstLine="960"/>
        <w:jc w:val="both"/>
      </w:pPr>
      <w:r>
        <w:rPr/>
        <w:t>5.1.2评审将进行全程实时录音录像，录音录像资料随采购文件一并存档。</w:t>
      </w:r>
    </w:p>
    <w:p>
      <w:pPr>
        <w:pStyle w:val="null3"/>
        <w:ind w:firstLine="960"/>
        <w:jc w:val="both"/>
      </w:pPr>
      <w:r>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t>5.1.4根据采购项目的特点和需要，需要加以详细说明的其他谈判程序规定、要求等内容：</w:t>
      </w:r>
    </w:p>
    <w:p>
      <w:pPr>
        <w:pStyle w:val="null3"/>
        <w:jc w:val="left"/>
      </w:pPr>
      <w:r>
        <w:rPr/>
        <w:t>无</w:t>
      </w:r>
    </w:p>
    <w:p>
      <w:pPr>
        <w:pStyle w:val="null3"/>
        <w:jc w:val="center"/>
        <w:outlineLvl w:val="2"/>
      </w:pPr>
      <w:r>
        <w:rPr>
          <w:sz w:val="28"/>
          <w:b/>
        </w:rPr>
        <w:t>第2节 竞争性谈判须知</w:t>
      </w:r>
    </w:p>
    <w:p>
      <w:pPr>
        <w:pStyle w:val="null3"/>
        <w:jc w:val="center"/>
        <w:outlineLvl w:val="2"/>
      </w:pPr>
      <w:r>
        <w:rPr>
          <w:sz w:val="28"/>
          <w:b/>
        </w:rPr>
        <w:t>一、总则</w:t>
      </w:r>
    </w:p>
    <w:p>
      <w:pPr>
        <w:pStyle w:val="null3"/>
        <w:jc w:val="both"/>
      </w:pPr>
      <w:r>
        <w:rPr>
          <w:b/>
        </w:rPr>
        <w:t>1.适用范围：</w:t>
      </w:r>
    </w:p>
    <w:p>
      <w:pPr>
        <w:pStyle w:val="null3"/>
        <w:ind w:firstLine="480"/>
        <w:jc w:val="both"/>
      </w:pPr>
      <w:r>
        <w:rPr/>
        <w:t>1.1适用于谈判文件载明项目的采购活动（以下简称：“本次采购活动”）。</w:t>
      </w:r>
    </w:p>
    <w:p>
      <w:pPr>
        <w:pStyle w:val="null3"/>
        <w:jc w:val="both"/>
      </w:pPr>
      <w:r>
        <w:rPr>
          <w:b/>
        </w:rPr>
        <w:t>2.定义及要求：</w:t>
      </w:r>
    </w:p>
    <w:p>
      <w:pPr>
        <w:pStyle w:val="null3"/>
        <w:ind w:firstLine="480"/>
        <w:jc w:val="both"/>
      </w:pPr>
      <w:r>
        <w:rPr/>
        <w:t>2.1“采购标的”指谈判文件载明的需要采购的货物、服务、工程。</w:t>
      </w:r>
    </w:p>
    <w:p>
      <w:pPr>
        <w:pStyle w:val="null3"/>
        <w:ind w:firstLine="480"/>
        <w:jc w:val="both"/>
      </w:pPr>
      <w:r>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t>2.3“潜在供应商”按照谈判文件第一章规定进行获取文件，且有意向参加本项目响应谈判的供应商。</w:t>
      </w:r>
    </w:p>
    <w:p>
      <w:pPr>
        <w:pStyle w:val="null3"/>
        <w:ind w:firstLine="480"/>
        <w:jc w:val="both"/>
      </w:pPr>
      <w:r>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t>3.1一般规定</w:t>
      </w:r>
    </w:p>
    <w:p>
      <w:pPr>
        <w:pStyle w:val="null3"/>
        <w:ind w:firstLine="960"/>
        <w:jc w:val="both"/>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both"/>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t>供应商有责任检查自身情况，在响应文件中对是否违反以上一般规定做出如实声明，否则其响应文件将被否决。</w:t>
      </w:r>
    </w:p>
    <w:p>
      <w:pPr>
        <w:pStyle w:val="null3"/>
        <w:ind w:firstLine="480"/>
        <w:jc w:val="both"/>
      </w:pPr>
      <w:r>
        <w:rPr/>
        <w:t>3.2特别规定</w:t>
      </w:r>
    </w:p>
    <w:p>
      <w:pPr>
        <w:pStyle w:val="null3"/>
        <w:ind w:firstLine="960"/>
        <w:jc w:val="both"/>
      </w:pPr>
      <w:r>
        <w:rPr/>
        <w:t>3.2.1供应商的资格要求：详见竞争性谈判须知前附表第1项。</w:t>
      </w:r>
    </w:p>
    <w:p>
      <w:pPr>
        <w:pStyle w:val="null3"/>
        <w:ind w:firstLine="960"/>
        <w:jc w:val="both"/>
      </w:pPr>
      <w:r>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t>（1）联合体各方应提交联合体协议，联合体协议应符合谈判文件规定。</w:t>
      </w:r>
    </w:p>
    <w:p>
      <w:pPr>
        <w:pStyle w:val="null3"/>
        <w:ind w:firstLine="960"/>
        <w:jc w:val="both"/>
      </w:pPr>
      <w:r>
        <w:rPr/>
        <w:t>（2）联合体各方不得再单独参加或与其他供应商另外组成联合体参加同一合同项下的响应谈判。</w:t>
      </w:r>
    </w:p>
    <w:p>
      <w:pPr>
        <w:pStyle w:val="null3"/>
        <w:ind w:firstLine="960"/>
        <w:jc w:val="both"/>
      </w:pPr>
      <w:r>
        <w:rPr/>
        <w:t>（3）联合体各方应共同与采购人签订政府采购合同，就政府采购合同约定的事项对采购人承担连带责任。</w:t>
      </w:r>
    </w:p>
    <w:p>
      <w:pPr>
        <w:pStyle w:val="null3"/>
        <w:ind w:firstLine="96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t>（5）联合体一方放弃成交的，视为联合体整体放弃成交，联合体各方承担连带责任。</w:t>
      </w:r>
    </w:p>
    <w:p>
      <w:pPr>
        <w:pStyle w:val="null3"/>
        <w:ind w:firstLine="960"/>
        <w:jc w:val="both"/>
      </w:pPr>
      <w:r>
        <w:rPr/>
        <w:t>（6）如本项目不接受联合体报价而供应商为联合体的，或者本项目接受联合体报价但供应商组成的联合体不符合本章第3.2条规定的，其报价无效。</w:t>
      </w:r>
    </w:p>
    <w:p>
      <w:pPr>
        <w:pStyle w:val="null3"/>
        <w:ind w:firstLine="960"/>
        <w:jc w:val="both"/>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t>4.1除法律法规或采购文件另有规定之外，供应商应自行承担其准备与参加竞争性谈判所涉及的一切费用。</w:t>
      </w:r>
    </w:p>
    <w:p>
      <w:pPr>
        <w:pStyle w:val="null3"/>
        <w:jc w:val="center"/>
        <w:outlineLvl w:val="2"/>
      </w:pPr>
      <w:r>
        <w:rPr>
          <w:sz w:val="28"/>
          <w:b/>
        </w:rPr>
        <w:t>二、竞争性谈判文件</w:t>
      </w:r>
    </w:p>
    <w:p>
      <w:pPr>
        <w:pStyle w:val="null3"/>
        <w:jc w:val="both"/>
      </w:pPr>
      <w:r>
        <w:rPr>
          <w:b/>
        </w:rPr>
        <w:t>5.竞争性谈判文件的组成：</w:t>
      </w:r>
    </w:p>
    <w:p>
      <w:pPr>
        <w:pStyle w:val="null3"/>
        <w:ind w:firstLine="480"/>
        <w:jc w:val="both"/>
      </w:pPr>
      <w:r>
        <w:rPr/>
        <w:t>5.1竞争性谈判文件由下述部分组成：</w:t>
      </w:r>
    </w:p>
    <w:p>
      <w:pPr>
        <w:pStyle w:val="null3"/>
        <w:ind w:firstLine="480"/>
        <w:jc w:val="both"/>
      </w:pPr>
      <w:r>
        <w:rPr/>
        <w:t>第一章 采购公告（或采购邀请书）</w:t>
      </w:r>
    </w:p>
    <w:p>
      <w:pPr>
        <w:pStyle w:val="null3"/>
        <w:ind w:firstLine="480"/>
        <w:jc w:val="both"/>
      </w:pPr>
      <w:r>
        <w:rPr/>
        <w:t>第二章 竞争性谈判须知</w:t>
      </w:r>
    </w:p>
    <w:p>
      <w:pPr>
        <w:pStyle w:val="null3"/>
        <w:ind w:firstLine="480"/>
        <w:jc w:val="both"/>
      </w:pPr>
      <w:r>
        <w:rPr/>
        <w:t>第三章 采购内容及要求</w:t>
      </w:r>
    </w:p>
    <w:p>
      <w:pPr>
        <w:pStyle w:val="null3"/>
        <w:ind w:firstLine="480"/>
        <w:jc w:val="both"/>
      </w:pPr>
      <w:r>
        <w:rPr/>
        <w:t>第四章 合同主要条款及格式</w:t>
      </w:r>
    </w:p>
    <w:p>
      <w:pPr>
        <w:pStyle w:val="null3"/>
        <w:ind w:firstLine="480"/>
        <w:jc w:val="both"/>
      </w:pPr>
      <w:r>
        <w:rPr/>
        <w:t>第五章 首次响应文件格式</w:t>
      </w:r>
    </w:p>
    <w:p>
      <w:pPr>
        <w:pStyle w:val="null3"/>
        <w:ind w:firstLine="480"/>
        <w:jc w:val="both"/>
      </w:pPr>
      <w:r>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sz w:val="28"/>
          <w:b/>
        </w:rPr>
        <w:t>三、响应文件编制</w:t>
      </w:r>
    </w:p>
    <w:p>
      <w:pPr>
        <w:pStyle w:val="null3"/>
        <w:jc w:val="both"/>
      </w:pPr>
      <w:r>
        <w:rPr>
          <w:b/>
        </w:rPr>
        <w:t>7.应标要求</w:t>
      </w:r>
    </w:p>
    <w:p>
      <w:pPr>
        <w:pStyle w:val="null3"/>
        <w:ind w:firstLine="480"/>
        <w:jc w:val="both"/>
      </w:pPr>
      <w:r>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t>7.2供应商代表在同一个合同项下只能接受一个供应商的委托参加响应谈判，否则其响应文件将被否决。</w:t>
      </w:r>
    </w:p>
    <w:p>
      <w:pPr>
        <w:pStyle w:val="null3"/>
        <w:ind w:firstLine="480"/>
        <w:jc w:val="both"/>
      </w:pPr>
      <w:r>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t>7.4除非竞争性谈判须知前附表另有规定外，供应商提供的响应文件应使用中文文本，若有不同文字文本，以中文文本为准。</w:t>
      </w:r>
    </w:p>
    <w:p>
      <w:pPr>
        <w:pStyle w:val="null3"/>
        <w:ind w:firstLine="480"/>
        <w:jc w:val="both"/>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t>8.1首次响应文件包括但不限于下列部分：</w:t>
      </w:r>
    </w:p>
    <w:p>
      <w:pPr>
        <w:pStyle w:val="null3"/>
        <w:ind w:firstLine="480"/>
        <w:jc w:val="both"/>
      </w:pPr>
      <w:r>
        <w:rPr/>
        <w:t>（1）谈判响应声明</w:t>
      </w:r>
    </w:p>
    <w:p>
      <w:pPr>
        <w:pStyle w:val="null3"/>
        <w:ind w:firstLine="480"/>
        <w:jc w:val="both"/>
      </w:pPr>
      <w:r>
        <w:rPr/>
        <w:t>（2）报价一览表（含详细报价书）</w:t>
      </w:r>
    </w:p>
    <w:p>
      <w:pPr>
        <w:pStyle w:val="null3"/>
        <w:ind w:firstLine="480"/>
        <w:jc w:val="both"/>
      </w:pPr>
      <w:r>
        <w:rPr/>
        <w:t>（3）资格证明文件</w:t>
      </w:r>
    </w:p>
    <w:p>
      <w:pPr>
        <w:pStyle w:val="null3"/>
        <w:ind w:firstLine="480"/>
        <w:jc w:val="both"/>
      </w:pPr>
      <w:r>
        <w:rPr/>
        <w:t>（4）谈判保证金凭证</w:t>
      </w:r>
    </w:p>
    <w:p>
      <w:pPr>
        <w:pStyle w:val="null3"/>
        <w:ind w:firstLine="480"/>
        <w:jc w:val="both"/>
      </w:pPr>
      <w:r>
        <w:rPr/>
        <w:t>（5）技术和商务偏离表</w:t>
      </w:r>
    </w:p>
    <w:p>
      <w:pPr>
        <w:pStyle w:val="null3"/>
        <w:ind w:firstLine="480"/>
        <w:jc w:val="both"/>
      </w:pPr>
      <w:r>
        <w:rPr/>
        <w:t>（6）相关技术、商务、服务响应承诺及资料</w:t>
      </w:r>
    </w:p>
    <w:p>
      <w:pPr>
        <w:pStyle w:val="null3"/>
        <w:ind w:firstLine="480"/>
        <w:jc w:val="both"/>
      </w:pPr>
      <w:r>
        <w:rPr/>
        <w:t>（7）供应商提交符合政府采购政策的证明材料</w:t>
      </w:r>
    </w:p>
    <w:p>
      <w:pPr>
        <w:pStyle w:val="null3"/>
        <w:ind w:firstLine="480"/>
        <w:jc w:val="both"/>
      </w:pPr>
      <w:r>
        <w:rPr/>
        <w:t>（8）要求作为响应文件组成部分的其他内容（若有）</w:t>
      </w:r>
    </w:p>
    <w:p>
      <w:pPr>
        <w:pStyle w:val="null3"/>
        <w:jc w:val="both"/>
      </w:pPr>
      <w:r>
        <w:rPr>
          <w:b/>
        </w:rPr>
        <w:t>9.响应文件有效期：</w:t>
      </w:r>
    </w:p>
    <w:p>
      <w:pPr>
        <w:pStyle w:val="null3"/>
        <w:ind w:firstLine="480"/>
        <w:jc w:val="both"/>
      </w:pPr>
      <w:r>
        <w:rPr/>
        <w:t>9.1响应文件有效期见竞争性谈判须知前附表第3项，响应文件承诺的有效期不得少于谈判文件载明的有效期，否则其响应文件将被否决。</w:t>
      </w:r>
    </w:p>
    <w:p>
      <w:pPr>
        <w:pStyle w:val="null3"/>
        <w:ind w:firstLine="480"/>
        <w:jc w:val="both"/>
      </w:pPr>
      <w:r>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t>10.1.3其他形式：</w:t>
      </w:r>
    </w:p>
    <w:p>
      <w:pPr>
        <w:pStyle w:val="null3"/>
        <w:jc w:val="left"/>
      </w:pPr>
      <w:r>
        <w:rPr/>
        <w:t>无</w:t>
      </w:r>
    </w:p>
    <w:p>
      <w:pPr>
        <w:pStyle w:val="null3"/>
        <w:ind w:firstLine="480"/>
        <w:jc w:val="both"/>
      </w:pPr>
      <w:r>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t>10.3谈判保证金退还：</w:t>
      </w:r>
    </w:p>
    <w:p>
      <w:pPr>
        <w:pStyle w:val="null3"/>
        <w:ind w:firstLine="960"/>
        <w:jc w:val="both"/>
      </w:pPr>
      <w:r>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t>10.4如果供应商发生以下任何一种情况时，其谈判保证金将被不予退还或通过保函进行索赔：</w:t>
      </w:r>
    </w:p>
    <w:p>
      <w:pPr>
        <w:pStyle w:val="null3"/>
        <w:ind w:firstLine="480"/>
        <w:jc w:val="both"/>
      </w:pPr>
      <w:r>
        <w:rPr/>
        <w:t>(1)供应商在提交响应文件截止时间后撤回响应文件的；</w:t>
      </w:r>
    </w:p>
    <w:p>
      <w:pPr>
        <w:pStyle w:val="null3"/>
        <w:ind w:firstLine="480"/>
        <w:jc w:val="both"/>
      </w:pPr>
      <w:r>
        <w:rPr/>
        <w:t>(2)供应商在响应文件中提供虚假材料的；</w:t>
      </w:r>
    </w:p>
    <w:p>
      <w:pPr>
        <w:pStyle w:val="null3"/>
        <w:ind w:firstLine="480"/>
        <w:jc w:val="both"/>
      </w:pPr>
      <w:r>
        <w:rPr/>
        <w:t>(3)除因不可抗力或谈判文件认可的情形以外，成交供应商不与采购人签订合同的；</w:t>
      </w:r>
    </w:p>
    <w:p>
      <w:pPr>
        <w:pStyle w:val="null3"/>
        <w:ind w:firstLine="480"/>
        <w:jc w:val="both"/>
      </w:pPr>
      <w:r>
        <w:rPr/>
        <w:t>(4)供应商与采购人、其他供应商或者采购代理机构恶意串通的；</w:t>
      </w:r>
    </w:p>
    <w:p>
      <w:pPr>
        <w:pStyle w:val="null3"/>
        <w:ind w:firstLine="480"/>
        <w:jc w:val="both"/>
      </w:pPr>
      <w:r>
        <w:rPr/>
        <w:t>(5)供应商在提交最后报价后要求退出谈判的；</w:t>
      </w:r>
    </w:p>
    <w:p>
      <w:pPr>
        <w:pStyle w:val="null3"/>
        <w:ind w:firstLine="480"/>
        <w:jc w:val="both"/>
      </w:pPr>
      <w:r>
        <w:rPr/>
        <w:t>(6)供应商假借以他人名义参加谈判或者以其他方式弄虚作假，骗取成交；</w:t>
      </w:r>
    </w:p>
    <w:p>
      <w:pPr>
        <w:pStyle w:val="null3"/>
        <w:ind w:firstLine="480"/>
        <w:jc w:val="both"/>
      </w:pPr>
      <w:r>
        <w:rPr/>
        <w:t>(7)国家法律法规以及谈判文件中规定的其他谈判保证金不予退还的情形。</w:t>
      </w:r>
    </w:p>
    <w:p>
      <w:pPr>
        <w:pStyle w:val="null3"/>
        <w:ind w:firstLine="480"/>
        <w:jc w:val="both"/>
      </w:pPr>
      <w:r>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t>11.3响应文件应尽量避免涂改、行间插字或删除。如果出现上述情况，改动之处应加盖供应商单位公章或由供应商代表签字确认。</w:t>
      </w:r>
    </w:p>
    <w:p>
      <w:pPr>
        <w:pStyle w:val="null3"/>
        <w:ind w:firstLine="480"/>
        <w:jc w:val="both"/>
      </w:pPr>
      <w:r>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sz w:val="28"/>
          <w:b/>
        </w:rPr>
        <w:t>四、竞争性谈判</w:t>
      </w:r>
    </w:p>
    <w:p>
      <w:pPr>
        <w:pStyle w:val="null3"/>
        <w:jc w:val="both"/>
      </w:pPr>
      <w:r>
        <w:rPr>
          <w:b/>
        </w:rPr>
        <w:t>13.评审和谈判基本准则</w:t>
      </w:r>
    </w:p>
    <w:p>
      <w:pPr>
        <w:pStyle w:val="null3"/>
        <w:ind w:firstLine="480"/>
        <w:jc w:val="both"/>
      </w:pPr>
      <w:r>
        <w:rPr/>
        <w:t>13.1对所有供应商的评审和谈判，都采用相同的程序和标准。</w:t>
      </w:r>
    </w:p>
    <w:p>
      <w:pPr>
        <w:pStyle w:val="null3"/>
        <w:ind w:firstLine="480"/>
        <w:jc w:val="both"/>
      </w:pPr>
      <w:r>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t>14.1采购人将根据项目的特点依法组建谈判小组。谈判小组将根据谈判文件规定的程序、评定成交标准等内容对供应商进行评审、谈判。</w:t>
      </w:r>
    </w:p>
    <w:p>
      <w:pPr>
        <w:pStyle w:val="null3"/>
        <w:ind w:firstLine="480"/>
        <w:jc w:val="both"/>
      </w:pPr>
      <w:r>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t>14.2.1供应商有下列情况之一者，其提交的响应文件将被视为未实质性响应谈判文件要求，谈判小组将否决其响应文件，按无效处理：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t>谈判小组决定供应商的响应性只根据响应文件本身的内容，而不寻求其他的外部证据。</w:t>
      </w:r>
    </w:p>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详见谈判文件</w:t>
            </w:r>
          </w:p>
        </w:tc>
        <w:tc>
          <w:tcPr>
            <w:tcW w:type="dxa" w:w="4614"/>
          </w:tcPr>
          <w:p>
            <w:pPr>
              <w:pStyle w:val="null3"/>
              <w:jc w:val="left"/>
            </w:pPr>
            <w:r>
              <w:rPr/>
              <w:t>详见谈判文件</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详见谈判文件</w:t>
            </w:r>
          </w:p>
        </w:tc>
        <w:tc>
          <w:tcPr>
            <w:tcW w:type="dxa" w:w="4614"/>
          </w:tcPr>
          <w:p>
            <w:pPr>
              <w:pStyle w:val="null3"/>
              <w:jc w:val="left"/>
            </w:pPr>
            <w:r>
              <w:rPr/>
              <w:t>详见谈判文件</w:t>
            </w:r>
          </w:p>
        </w:tc>
      </w:tr>
    </w:tbl>
    <w:p>
      <w:pPr>
        <w:pStyle w:val="null3"/>
        <w:jc w:val="left"/>
      </w:pPr>
      <w:r>
        <w:rPr/>
        <w:t>价格符合性：无</w:t>
      </w:r>
    </w:p>
    <w:p>
      <w:pPr>
        <w:pStyle w:val="null3"/>
        <w:ind w:firstLine="480"/>
        <w:jc w:val="both"/>
      </w:pPr>
      <w:r>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t>14.10供应商提交的响应文件和资料将给予保密，但不退回（有关证件或证照的原件除外）。</w:t>
      </w:r>
    </w:p>
    <w:p>
      <w:pPr>
        <w:pStyle w:val="null3"/>
        <w:jc w:val="left"/>
        <w:outlineLvl w:val="2"/>
      </w:pPr>
      <w:r>
        <w:rPr>
          <w:sz w:val="28"/>
          <w:b/>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 xml:space="preserve"> 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22.2信息公告指定媒体：详见竞争性谈判须知前附表第7项。</w:t>
      </w:r>
    </w:p>
    <w:p>
      <w:pPr>
        <w:pStyle w:val="null3"/>
        <w:jc w:val="both"/>
      </w:pPr>
      <w:r>
        <w:rPr>
          <w:b/>
        </w:rPr>
        <w:t>23.监督管理部门</w:t>
      </w:r>
    </w:p>
    <w:p>
      <w:pPr>
        <w:pStyle w:val="null3"/>
        <w:ind w:firstLine="480"/>
        <w:jc w:val="both"/>
      </w:pPr>
      <w:r>
        <w:rPr/>
        <w:t>23.1谈判采购活动的监督管理部门详见竞争性谈判须知前附表第8项。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26.1根据采购项目特点或政策需要补充的其他新增内容详见竞争性谈判须知前附表第9项。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both"/>
        <w:outlineLvl w:val="2"/>
      </w:pPr>
      <w:r>
        <w:rPr>
          <w:sz w:val="28"/>
          <w:b/>
        </w:rPr>
        <w:t>一、（根据本项目实际情况，填写“采购标的”或“项目概况”）</w:t>
      </w:r>
    </w:p>
    <w:p>
      <w:pPr>
        <w:pStyle w:val="null3"/>
        <w:jc w:val="left"/>
      </w:pPr>
      <w:r>
        <w:rPr>
          <w:rFonts w:ascii="宋体" w:hAnsi="宋体" w:cs="宋体" w:eastAsia="宋体"/>
          <w:sz w:val="28"/>
        </w:rPr>
        <w:t>本次采购项目的机房设备主要满足</w:t>
      </w:r>
      <w:r>
        <w:rPr>
          <w:rFonts w:ascii="宋体" w:hAnsi="宋体" w:cs="宋体" w:eastAsia="宋体"/>
          <w:sz w:val="28"/>
        </w:rPr>
        <w:t>泉州师范学院</w:t>
      </w:r>
      <w:r>
        <w:rPr>
          <w:rFonts w:ascii="宋体" w:hAnsi="宋体" w:cs="宋体" w:eastAsia="宋体"/>
          <w:sz w:val="28"/>
        </w:rPr>
        <w:t>数学与计算机科学学院软件工程和大数据新专业的实验实训课程需求，另外增补信息技术实验中心的部分安防布线及设备。</w:t>
      </w:r>
    </w:p>
    <w:p>
      <w:pPr>
        <w:pStyle w:val="null3"/>
        <w:jc w:val="both"/>
        <w:outlineLvl w:val="2"/>
      </w:pPr>
      <w:r>
        <w:rPr>
          <w:sz w:val="28"/>
          <w:b/>
        </w:rPr>
        <w:t>二、技术和服务要求</w:t>
      </w:r>
    </w:p>
    <w:p>
      <w:pPr>
        <w:pStyle w:val="null3"/>
        <w:jc w:val="left"/>
      </w:pPr>
      <w:r>
        <w:rPr>
          <w:rFonts w:ascii="calibri" w:hAnsi="calibri" w:cs="calibri" w:eastAsia="calibri"/>
          <w:sz w:val="28"/>
        </w:rPr>
        <w:t>一</w:t>
      </w:r>
      <w:r>
        <w:rPr>
          <w:rFonts w:ascii="宋体" w:hAnsi="宋体" w:cs="宋体" w:eastAsia="宋体"/>
          <w:sz w:val="28"/>
        </w:rPr>
        <w:t>、技术要求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90"/>
        <w:gridCol w:w="612"/>
        <w:gridCol w:w="487"/>
        <w:gridCol w:w="1030"/>
        <w:gridCol w:w="1586"/>
        <w:gridCol w:w="3562"/>
        <w:gridCol w:w="640"/>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6665"/>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4"/>
              </w:rPr>
              <w:t>数量</w:t>
            </w: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华文中宋" w:hAnsi="华文中宋" w:cs="华文中宋" w:eastAsia="华文中宋"/>
                <w:sz w:val="24"/>
              </w:rPr>
              <w:t>1</w:t>
            </w:r>
          </w:p>
        </w:tc>
        <w:tc>
          <w:tcPr>
            <w:tcW w:type="dxa" w:w="6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台式计算机</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指标分类</w:t>
            </w:r>
          </w:p>
        </w:tc>
        <w:tc>
          <w:tcPr>
            <w:tcW w:type="dxa" w:w="1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指标信息</w:t>
            </w:r>
          </w:p>
        </w:tc>
        <w:tc>
          <w:tcPr>
            <w:tcW w:type="dxa" w:w="3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华文中宋" w:hAnsi="华文中宋" w:cs="华文中宋" w:eastAsia="华文中宋"/>
                <w:sz w:val="24"/>
              </w:rPr>
              <w:t>189</w:t>
            </w:r>
            <w:r>
              <w:rPr>
                <w:rFonts w:ascii="华文中宋" w:hAnsi="华文中宋" w:cs="华文中宋" w:eastAsia="华文中宋"/>
                <w:sz w:val="24"/>
              </w:rPr>
              <w:t>套</w:t>
            </w: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CPU</w:t>
            </w:r>
            <w:r>
              <w:rPr>
                <w:rFonts w:ascii="宋体" w:hAnsi="宋体" w:cs="宋体" w:eastAsia="宋体"/>
                <w:sz w:val="21"/>
              </w:rPr>
              <w:t>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CPU</w:t>
            </w:r>
            <w:r>
              <w:rPr>
                <w:rFonts w:ascii="宋体" w:hAnsi="宋体" w:cs="宋体" w:eastAsia="宋体"/>
                <w:sz w:val="21"/>
              </w:rPr>
              <w:t>信息</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采用国产</w:t>
            </w:r>
            <w:r>
              <w:rPr>
                <w:rFonts w:ascii="calibri" w:hAnsi="calibri" w:cs="calibri" w:eastAsia="calibri"/>
                <w:sz w:val="21"/>
              </w:rPr>
              <w:t>C86</w:t>
            </w:r>
            <w:r>
              <w:rPr>
                <w:rFonts w:ascii="宋体" w:hAnsi="宋体" w:cs="宋体" w:eastAsia="宋体"/>
                <w:sz w:val="21"/>
              </w:rPr>
              <w:t>架构处理器，</w:t>
            </w:r>
            <w:r>
              <w:rPr>
                <w:rFonts w:ascii="calibri" w:hAnsi="calibri" w:cs="calibri" w:eastAsia="calibri"/>
                <w:sz w:val="21"/>
              </w:rPr>
              <w:t>CPU</w:t>
            </w:r>
            <w:r>
              <w:rPr>
                <w:rFonts w:ascii="宋体" w:hAnsi="宋体" w:cs="宋体" w:eastAsia="宋体"/>
                <w:sz w:val="21"/>
              </w:rPr>
              <w:t>物理核心数≥</w:t>
            </w:r>
            <w:r>
              <w:rPr>
                <w:rFonts w:ascii="calibri" w:hAnsi="calibri" w:cs="calibri" w:eastAsia="calibri"/>
                <w:sz w:val="21"/>
              </w:rPr>
              <w:t>8</w:t>
            </w:r>
            <w:r>
              <w:rPr>
                <w:rFonts w:ascii="宋体" w:hAnsi="宋体" w:cs="宋体" w:eastAsia="宋体"/>
                <w:sz w:val="21"/>
              </w:rPr>
              <w:t>核，主频≥</w:t>
            </w:r>
            <w:r>
              <w:rPr>
                <w:rFonts w:ascii="calibri" w:hAnsi="calibri" w:cs="calibri" w:eastAsia="calibri"/>
                <w:sz w:val="21"/>
              </w:rPr>
              <w:t>3.0</w:t>
            </w:r>
            <w:r>
              <w:rPr>
                <w:rFonts w:ascii="calibri" w:hAnsi="calibri" w:cs="calibri" w:eastAsia="calibri"/>
                <w:sz w:val="21"/>
              </w:rPr>
              <w:t>GHz</w:t>
            </w:r>
            <w:r>
              <w:rPr>
                <w:rFonts w:ascii="宋体" w:hAnsi="宋体" w:cs="宋体" w:eastAsia="宋体"/>
                <w:sz w:val="21"/>
              </w:rPr>
              <w:t>，末级缓存缓存容量≥</w:t>
            </w:r>
            <w:r>
              <w:rPr>
                <w:rFonts w:ascii="calibri" w:hAnsi="calibri" w:cs="calibri" w:eastAsia="calibri"/>
                <w:sz w:val="21"/>
              </w:rPr>
              <w:t>16MB</w:t>
            </w:r>
            <w:r>
              <w:rPr>
                <w:rFonts w:ascii="宋体" w:hAnsi="宋体" w:cs="宋体" w:eastAsia="宋体"/>
                <w:sz w:val="21"/>
              </w:rPr>
              <w:t>，典型功耗≤</w:t>
            </w:r>
            <w:r>
              <w:rPr>
                <w:rFonts w:ascii="calibri" w:hAnsi="calibri" w:cs="calibri" w:eastAsia="calibri"/>
                <w:sz w:val="21"/>
              </w:rPr>
              <w:t>65W</w:t>
            </w:r>
            <w:r>
              <w:rPr>
                <w:rFonts w:ascii="宋体" w:hAnsi="宋体" w:cs="宋体" w:eastAsia="宋体"/>
                <w:sz w:val="21"/>
              </w:rPr>
              <w:t>，内存的最高速率：</w:t>
            </w:r>
            <w:r>
              <w:rPr>
                <w:rFonts w:ascii="calibri" w:hAnsi="calibri" w:cs="calibri" w:eastAsia="calibri"/>
                <w:sz w:val="21"/>
              </w:rPr>
              <w:t>3200MHz</w:t>
            </w:r>
            <w:r>
              <w:rPr>
                <w:rFonts w:ascii="宋体" w:hAnsi="宋体" w:cs="宋体" w:eastAsia="宋体"/>
                <w:sz w:val="21"/>
              </w:rPr>
              <w:t>，通道数：</w:t>
            </w:r>
            <w:r>
              <w:rPr>
                <w:rFonts w:ascii="calibri" w:hAnsi="calibri" w:cs="calibri" w:eastAsia="calibri"/>
                <w:sz w:val="21"/>
              </w:rPr>
              <w:t>2</w:t>
            </w:r>
            <w:r>
              <w:rPr>
                <w:rFonts w:ascii="宋体" w:hAnsi="宋体" w:cs="宋体" w:eastAsia="宋体"/>
                <w:sz w:val="21"/>
              </w:rPr>
              <w:t>，位宽：</w:t>
            </w:r>
            <w:r>
              <w:rPr>
                <w:rFonts w:ascii="calibri" w:hAnsi="calibri" w:cs="calibri" w:eastAsia="calibri"/>
                <w:sz w:val="21"/>
              </w:rPr>
              <w:t>DDR4</w:t>
            </w:r>
            <w:r>
              <w:rPr>
                <w:rFonts w:ascii="宋体" w:hAnsi="宋体" w:cs="宋体" w:eastAsia="宋体"/>
                <w:sz w:val="21"/>
              </w:rPr>
              <w:t>。</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内存规格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内存信息</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内存容量≥</w:t>
            </w:r>
            <w:r>
              <w:rPr>
                <w:rFonts w:ascii="calibri" w:hAnsi="calibri" w:cs="calibri" w:eastAsia="calibri"/>
                <w:sz w:val="21"/>
              </w:rPr>
              <w:t xml:space="preserve">16 GB </w:t>
            </w:r>
            <w:r>
              <w:rPr>
                <w:rFonts w:ascii="宋体" w:hAnsi="宋体" w:cs="宋体" w:eastAsia="宋体"/>
                <w:sz w:val="21"/>
              </w:rPr>
              <w:t>，内存类型</w:t>
            </w:r>
            <w:r>
              <w:rPr>
                <w:rFonts w:ascii="calibri" w:hAnsi="calibri" w:cs="calibri" w:eastAsia="calibri"/>
                <w:sz w:val="21"/>
              </w:rPr>
              <w:t>:DDR4</w:t>
            </w:r>
            <w:r>
              <w:rPr>
                <w:rFonts w:ascii="宋体" w:hAnsi="宋体" w:cs="宋体" w:eastAsia="宋体"/>
                <w:sz w:val="21"/>
              </w:rPr>
              <w:t>内存，内存条配置数量≥</w:t>
            </w:r>
            <w:r>
              <w:rPr>
                <w:rFonts w:ascii="calibri" w:hAnsi="calibri" w:cs="calibri" w:eastAsia="calibri"/>
                <w:sz w:val="21"/>
              </w:rPr>
              <w:t>1</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主板规格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主板集成模块</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集成资源扩展模块、计算处理模块、音频扩展模块等，主板的互联拓扑可通过处理器或交换电路实现</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 xml:space="preserve">主板支持的 </w:t>
            </w:r>
            <w:r>
              <w:rPr>
                <w:rFonts w:ascii="calibri" w:hAnsi="calibri" w:cs="calibri" w:eastAsia="calibri"/>
                <w:sz w:val="21"/>
              </w:rPr>
              <w:t>CPU</w:t>
            </w:r>
            <w:r>
              <w:rPr>
                <w:rFonts w:ascii="宋体" w:hAnsi="宋体" w:cs="宋体" w:eastAsia="宋体"/>
                <w:sz w:val="21"/>
              </w:rPr>
              <w:t>和内存情况</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主板支持国产</w:t>
            </w:r>
            <w:r>
              <w:rPr>
                <w:rFonts w:ascii="calibri" w:hAnsi="calibri" w:cs="calibri" w:eastAsia="calibri"/>
                <w:sz w:val="21"/>
              </w:rPr>
              <w:t>C86</w:t>
            </w:r>
            <w:r>
              <w:rPr>
                <w:rFonts w:ascii="宋体" w:hAnsi="宋体" w:cs="宋体" w:eastAsia="宋体"/>
                <w:sz w:val="21"/>
              </w:rPr>
              <w:t>架构</w:t>
            </w:r>
            <w:r>
              <w:rPr>
                <w:rFonts w:ascii="宋体" w:hAnsi="宋体" w:cs="宋体" w:eastAsia="宋体"/>
                <w:sz w:val="21"/>
              </w:rPr>
              <w:t>处理器和</w:t>
            </w:r>
            <w:r>
              <w:rPr>
                <w:rFonts w:ascii="calibri" w:hAnsi="calibri" w:cs="calibri" w:eastAsia="calibri"/>
                <w:sz w:val="21"/>
              </w:rPr>
              <w:t>DDR4</w:t>
            </w:r>
            <w:r>
              <w:rPr>
                <w:rFonts w:ascii="宋体" w:hAnsi="宋体" w:cs="宋体" w:eastAsia="宋体"/>
                <w:sz w:val="21"/>
              </w:rPr>
              <w:t>及以上内存</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主板内置</w:t>
            </w:r>
            <w:r>
              <w:rPr>
                <w:rFonts w:ascii="calibri" w:hAnsi="calibri" w:cs="calibri" w:eastAsia="calibri"/>
                <w:sz w:val="21"/>
              </w:rPr>
              <w:t>PCIe</w:t>
            </w:r>
            <w:r>
              <w:rPr>
                <w:rFonts w:ascii="宋体" w:hAnsi="宋体" w:cs="宋体" w:eastAsia="宋体"/>
                <w:sz w:val="21"/>
              </w:rPr>
              <w:t>插槽数量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配置≥</w:t>
            </w:r>
            <w:r>
              <w:rPr>
                <w:rFonts w:ascii="calibri" w:hAnsi="calibri" w:cs="calibri" w:eastAsia="calibri"/>
                <w:sz w:val="21"/>
              </w:rPr>
              <w:t>1</w:t>
            </w:r>
            <w:r>
              <w:rPr>
                <w:rFonts w:ascii="宋体" w:hAnsi="宋体" w:cs="宋体" w:eastAsia="宋体"/>
                <w:sz w:val="21"/>
              </w:rPr>
              <w:t>个</w:t>
            </w:r>
            <w:r>
              <w:rPr>
                <w:rFonts w:ascii="calibri" w:hAnsi="calibri" w:cs="calibri" w:eastAsia="calibri"/>
                <w:sz w:val="21"/>
              </w:rPr>
              <w:t xml:space="preserve">PCIe x16, </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个</w:t>
            </w:r>
            <w:r>
              <w:rPr>
                <w:rFonts w:ascii="calibri" w:hAnsi="calibri" w:cs="calibri" w:eastAsia="calibri"/>
                <w:sz w:val="21"/>
              </w:rPr>
              <w:t xml:space="preserve">PCIe x8, </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个</w:t>
            </w:r>
            <w:r>
              <w:rPr>
                <w:rFonts w:ascii="calibri" w:hAnsi="calibri" w:cs="calibri" w:eastAsia="calibri"/>
                <w:sz w:val="21"/>
              </w:rPr>
              <w:t>PCIe x1</w:t>
            </w:r>
            <w:r>
              <w:rPr>
                <w:rFonts w:ascii="宋体" w:hAnsi="宋体" w:cs="宋体" w:eastAsia="宋体"/>
                <w:sz w:val="21"/>
              </w:rPr>
              <w:t>；</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主板其他内置接口</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 xml:space="preserve">USB </w:t>
            </w:r>
            <w:r>
              <w:rPr>
                <w:rFonts w:ascii="宋体" w:hAnsi="宋体" w:cs="宋体" w:eastAsia="宋体"/>
                <w:sz w:val="21"/>
              </w:rPr>
              <w:t>接口≥</w:t>
            </w:r>
            <w:r>
              <w:rPr>
                <w:rFonts w:ascii="calibri" w:hAnsi="calibri" w:cs="calibri" w:eastAsia="calibri"/>
                <w:sz w:val="21"/>
              </w:rPr>
              <w:t>8</w:t>
            </w:r>
            <w:r>
              <w:rPr>
                <w:rFonts w:ascii="宋体" w:hAnsi="宋体" w:cs="宋体" w:eastAsia="宋体"/>
                <w:sz w:val="21"/>
              </w:rPr>
              <w:t>个（前置</w:t>
            </w:r>
            <w:r>
              <w:rPr>
                <w:rFonts w:ascii="calibri" w:hAnsi="calibri" w:cs="calibri" w:eastAsia="calibri"/>
                <w:sz w:val="21"/>
              </w:rPr>
              <w:t>USB</w:t>
            </w:r>
            <w:r>
              <w:rPr>
                <w:rFonts w:ascii="宋体" w:hAnsi="宋体" w:cs="宋体" w:eastAsia="宋体"/>
                <w:sz w:val="21"/>
              </w:rPr>
              <w:t>≥</w:t>
            </w:r>
            <w:r>
              <w:rPr>
                <w:rFonts w:ascii="calibri" w:hAnsi="calibri" w:cs="calibri" w:eastAsia="calibri"/>
                <w:sz w:val="21"/>
              </w:rPr>
              <w:t>4</w:t>
            </w:r>
            <w:r>
              <w:rPr>
                <w:rFonts w:ascii="宋体" w:hAnsi="宋体" w:cs="宋体" w:eastAsia="宋体"/>
                <w:sz w:val="21"/>
              </w:rPr>
              <w:t>个</w:t>
            </w:r>
            <w:r>
              <w:rPr>
                <w:rFonts w:ascii="calibri" w:hAnsi="calibri" w:cs="calibri" w:eastAsia="calibri"/>
                <w:sz w:val="21"/>
              </w:rPr>
              <w:t>,</w:t>
            </w:r>
            <w:r>
              <w:rPr>
                <w:rFonts w:ascii="宋体" w:hAnsi="宋体" w:cs="宋体" w:eastAsia="宋体"/>
                <w:sz w:val="21"/>
              </w:rPr>
              <w:t>其中</w:t>
            </w:r>
            <w:r>
              <w:rPr>
                <w:rFonts w:ascii="calibri" w:hAnsi="calibri" w:cs="calibri" w:eastAsia="calibri"/>
                <w:sz w:val="21"/>
              </w:rPr>
              <w:t>USB 3.0</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 xml:space="preserve">个）；≥ </w:t>
            </w:r>
            <w:r>
              <w:rPr>
                <w:rFonts w:ascii="calibri" w:hAnsi="calibri" w:cs="calibri" w:eastAsia="calibri"/>
                <w:sz w:val="21"/>
              </w:rPr>
              <w:t>1</w:t>
            </w:r>
            <w:r>
              <w:rPr>
                <w:rFonts w:ascii="宋体" w:hAnsi="宋体" w:cs="宋体" w:eastAsia="宋体"/>
                <w:sz w:val="21"/>
              </w:rPr>
              <w:t>个串口，≥</w:t>
            </w:r>
            <w:r>
              <w:rPr>
                <w:rFonts w:ascii="calibri" w:hAnsi="calibri" w:cs="calibri" w:eastAsia="calibri"/>
                <w:sz w:val="21"/>
              </w:rPr>
              <w:t>1</w:t>
            </w:r>
            <w:r>
              <w:rPr>
                <w:rFonts w:ascii="宋体" w:hAnsi="宋体" w:cs="宋体" w:eastAsia="宋体"/>
                <w:sz w:val="21"/>
              </w:rPr>
              <w:t>个并口， 音频接口≥</w:t>
            </w:r>
            <w:r>
              <w:rPr>
                <w:rFonts w:ascii="calibri" w:hAnsi="calibri" w:cs="calibri" w:eastAsia="calibri"/>
                <w:sz w:val="21"/>
              </w:rPr>
              <w:t>5</w:t>
            </w:r>
            <w:r>
              <w:rPr>
                <w:rFonts w:ascii="宋体" w:hAnsi="宋体" w:cs="宋体" w:eastAsia="宋体"/>
                <w:sz w:val="21"/>
              </w:rPr>
              <w:t>个（前</w:t>
            </w:r>
            <w:r>
              <w:rPr>
                <w:rFonts w:ascii="calibri" w:hAnsi="calibri" w:cs="calibri" w:eastAsia="calibri"/>
                <w:sz w:val="21"/>
              </w:rPr>
              <w:t>2</w:t>
            </w:r>
            <w:r>
              <w:rPr>
                <w:rFonts w:ascii="宋体" w:hAnsi="宋体" w:cs="宋体" w:eastAsia="宋体"/>
                <w:sz w:val="21"/>
              </w:rPr>
              <w:t>后</w:t>
            </w:r>
            <w:r>
              <w:rPr>
                <w:rFonts w:ascii="calibri" w:hAnsi="calibri" w:cs="calibri" w:eastAsia="calibri"/>
                <w:sz w:val="21"/>
              </w:rPr>
              <w:t>3</w:t>
            </w:r>
            <w:r>
              <w:rPr>
                <w:rFonts w:ascii="宋体" w:hAnsi="宋体" w:cs="宋体" w:eastAsia="宋体"/>
                <w:sz w:val="21"/>
              </w:rPr>
              <w:t>） ，千兆网络接口≥</w:t>
            </w:r>
            <w:r>
              <w:rPr>
                <w:rFonts w:ascii="calibri" w:hAnsi="calibri" w:cs="calibri" w:eastAsia="calibri"/>
                <w:sz w:val="21"/>
              </w:rPr>
              <w:t>1</w:t>
            </w:r>
            <w:r>
              <w:rPr>
                <w:rFonts w:ascii="宋体" w:hAnsi="宋体" w:cs="宋体" w:eastAsia="宋体"/>
                <w:sz w:val="21"/>
              </w:rPr>
              <w:t>个；</w:t>
            </w:r>
            <w:r>
              <w:rPr>
                <w:rFonts w:ascii="calibri" w:hAnsi="calibri" w:cs="calibri" w:eastAsia="calibri"/>
                <w:sz w:val="21"/>
              </w:rPr>
              <w:t>SATA</w:t>
            </w:r>
            <w:r>
              <w:rPr>
                <w:rFonts w:ascii="宋体" w:hAnsi="宋体" w:cs="宋体" w:eastAsia="宋体"/>
                <w:sz w:val="21"/>
              </w:rPr>
              <w:t>接口≥</w:t>
            </w:r>
            <w:r>
              <w:rPr>
                <w:rFonts w:ascii="calibri" w:hAnsi="calibri" w:cs="calibri" w:eastAsia="calibri"/>
                <w:sz w:val="21"/>
              </w:rPr>
              <w:t>4</w:t>
            </w:r>
            <w:r>
              <w:rPr>
                <w:rFonts w:ascii="宋体" w:hAnsi="宋体" w:cs="宋体" w:eastAsia="宋体"/>
                <w:sz w:val="21"/>
              </w:rPr>
              <w:t>，</w:t>
            </w:r>
            <w:r>
              <w:rPr>
                <w:rFonts w:ascii="calibri" w:hAnsi="calibri" w:cs="calibri" w:eastAsia="calibri"/>
                <w:sz w:val="21"/>
              </w:rPr>
              <w:t>M.2</w:t>
            </w:r>
            <w:r>
              <w:rPr>
                <w:rFonts w:ascii="宋体" w:hAnsi="宋体" w:cs="宋体" w:eastAsia="宋体"/>
                <w:sz w:val="21"/>
              </w:rPr>
              <w:t>接口≥</w:t>
            </w:r>
            <w:r>
              <w:rPr>
                <w:rFonts w:ascii="calibri" w:hAnsi="calibri" w:cs="calibri" w:eastAsia="calibri"/>
                <w:sz w:val="21"/>
              </w:rPr>
              <w:t>1</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单内存插槽最大可支持容量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32 GB</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内存插槽满配时提供的最高内存总容量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16</w:t>
            </w:r>
            <w:r>
              <w:rPr>
                <w:rFonts w:ascii="宋体" w:hAnsi="宋体" w:cs="宋体" w:eastAsia="宋体"/>
                <w:sz w:val="21"/>
              </w:rPr>
              <w:t xml:space="preserve"> </w:t>
            </w:r>
            <w:r>
              <w:rPr>
                <w:rFonts w:ascii="calibri" w:hAnsi="calibri" w:cs="calibri" w:eastAsia="calibri"/>
                <w:sz w:val="21"/>
              </w:rPr>
              <w:t>GB</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存储设备规格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固态盘数量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 xml:space="preserve">1 </w:t>
            </w:r>
            <w:r>
              <w:rPr>
                <w:rFonts w:ascii="宋体" w:hAnsi="宋体" w:cs="宋体" w:eastAsia="宋体"/>
                <w:sz w:val="21"/>
              </w:rPr>
              <w:t>个</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固态存储容量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 xml:space="preserve">512G  M.2 NVME </w:t>
            </w:r>
            <w:r>
              <w:rPr>
                <w:rFonts w:ascii="宋体" w:hAnsi="宋体" w:cs="宋体" w:eastAsia="宋体"/>
                <w:sz w:val="21"/>
              </w:rPr>
              <w:t>固态硬盘</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机械硬盘数量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机械硬盘总容量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机械硬盘转速</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 xml:space="preserve">5400 </w:t>
            </w:r>
            <w:r>
              <w:rPr>
                <w:rFonts w:ascii="calibri" w:hAnsi="calibri" w:cs="calibri" w:eastAsia="calibri"/>
                <w:sz w:val="21"/>
              </w:rPr>
              <w:t>rpm</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机械硬盘形态</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3.5</w:t>
            </w:r>
            <w:r>
              <w:rPr>
                <w:rFonts w:ascii="宋体" w:hAnsi="宋体" w:cs="宋体" w:eastAsia="宋体"/>
                <w:sz w:val="21"/>
              </w:rPr>
              <w:t>英寸</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固态存储形态</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采用插卡形态，选用符合</w:t>
            </w:r>
            <w:r>
              <w:rPr>
                <w:rFonts w:ascii="calibri" w:hAnsi="calibri" w:cs="calibri" w:eastAsia="calibri"/>
                <w:sz w:val="21"/>
              </w:rPr>
              <w:t>M.2</w:t>
            </w:r>
            <w:r>
              <w:rPr>
                <w:rFonts w:ascii="宋体" w:hAnsi="宋体" w:cs="宋体" w:eastAsia="宋体"/>
                <w:sz w:val="21"/>
              </w:rPr>
              <w:t>等标准的插卡形态</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存储设备其他参数要求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a)</w:t>
            </w:r>
            <w:r>
              <w:rPr>
                <w:rFonts w:ascii="宋体" w:hAnsi="宋体" w:cs="宋体" w:eastAsia="宋体"/>
                <w:sz w:val="21"/>
              </w:rPr>
              <w:t xml:space="preserve">固态盘应符合 </w:t>
            </w:r>
            <w:r>
              <w:rPr>
                <w:rFonts w:ascii="calibri" w:hAnsi="calibri" w:cs="calibri" w:eastAsia="calibri"/>
                <w:sz w:val="21"/>
              </w:rPr>
              <w:t>SJ/T 11654</w:t>
            </w:r>
            <w:r>
              <w:rPr>
                <w:rFonts w:ascii="宋体" w:hAnsi="宋体" w:cs="宋体" w:eastAsia="宋体"/>
                <w:sz w:val="21"/>
              </w:rPr>
              <w:t>相关规定；</w:t>
            </w:r>
          </w:p>
          <w:p>
            <w:pPr>
              <w:pStyle w:val="null3"/>
              <w:jc w:val="left"/>
            </w:pPr>
            <w:r>
              <w:rPr>
                <w:rFonts w:ascii="calibri" w:hAnsi="calibri" w:cs="calibri" w:eastAsia="calibri"/>
                <w:sz w:val="21"/>
              </w:rPr>
              <w:t>b)</w:t>
            </w:r>
            <w:r>
              <w:rPr>
                <w:rFonts w:ascii="宋体" w:hAnsi="宋体" w:cs="宋体" w:eastAsia="宋体"/>
                <w:sz w:val="21"/>
              </w:rPr>
              <w:t xml:space="preserve">机械硬盘准备时间应不大于 </w:t>
            </w:r>
            <w:r>
              <w:rPr>
                <w:rFonts w:ascii="calibri" w:hAnsi="calibri" w:cs="calibri" w:eastAsia="calibri"/>
                <w:sz w:val="21"/>
              </w:rPr>
              <w:t>30s</w:t>
            </w:r>
            <w:r>
              <w:rPr>
                <w:rFonts w:ascii="宋体" w:hAnsi="宋体" w:cs="宋体" w:eastAsia="宋体"/>
                <w:sz w:val="21"/>
              </w:rPr>
              <w:t xml:space="preserve">；侧面固定螺丝孔数量可为 </w:t>
            </w:r>
            <w:r>
              <w:rPr>
                <w:rFonts w:ascii="calibri" w:hAnsi="calibri" w:cs="calibri" w:eastAsia="calibri"/>
                <w:sz w:val="21"/>
              </w:rPr>
              <w:t>4</w:t>
            </w:r>
            <w:r>
              <w:rPr>
                <w:rFonts w:ascii="宋体" w:hAnsi="宋体" w:cs="宋体" w:eastAsia="宋体"/>
                <w:sz w:val="21"/>
              </w:rPr>
              <w:t xml:space="preserve">孔或 </w:t>
            </w:r>
            <w:r>
              <w:rPr>
                <w:rFonts w:ascii="calibri" w:hAnsi="calibri" w:cs="calibri" w:eastAsia="calibri"/>
                <w:sz w:val="21"/>
              </w:rPr>
              <w:t>6</w:t>
            </w:r>
            <w:r>
              <w:rPr>
                <w:rFonts w:ascii="宋体" w:hAnsi="宋体" w:cs="宋体" w:eastAsia="宋体"/>
                <w:sz w:val="21"/>
              </w:rPr>
              <w:t xml:space="preserve">孔；工作状态环境温度应满足 </w:t>
            </w:r>
            <w:r>
              <w:rPr>
                <w:rFonts w:ascii="calibri" w:hAnsi="calibri" w:cs="calibri" w:eastAsia="calibri"/>
                <w:sz w:val="21"/>
              </w:rPr>
              <w:t>5</w:t>
            </w:r>
            <w:r>
              <w:rPr>
                <w:rFonts w:ascii="宋体" w:hAnsi="宋体" w:cs="宋体" w:eastAsia="宋体"/>
                <w:sz w:val="21"/>
              </w:rPr>
              <w:t>℃</w:t>
            </w:r>
            <w:r>
              <w:rPr>
                <w:rFonts w:ascii="calibri" w:hAnsi="calibri" w:cs="calibri" w:eastAsia="calibri"/>
                <w:sz w:val="21"/>
              </w:rPr>
              <w:t>~55</w:t>
            </w:r>
            <w:r>
              <w:rPr>
                <w:rFonts w:ascii="宋体" w:hAnsi="宋体" w:cs="宋体" w:eastAsia="宋体"/>
                <w:sz w:val="21"/>
              </w:rPr>
              <w:t>℃；</w:t>
            </w:r>
          </w:p>
          <w:p>
            <w:pPr>
              <w:pStyle w:val="null3"/>
              <w:jc w:val="left"/>
            </w:pPr>
            <w:r>
              <w:rPr>
                <w:rFonts w:ascii="宋体" w:hAnsi="宋体" w:cs="宋体" w:eastAsia="宋体"/>
                <w:sz w:val="21"/>
              </w:rPr>
              <w:t xml:space="preserve">其它参数应符合 </w:t>
            </w:r>
            <w:r>
              <w:rPr>
                <w:rFonts w:ascii="calibri" w:hAnsi="calibri" w:cs="calibri" w:eastAsia="calibri"/>
                <w:sz w:val="21"/>
              </w:rPr>
              <w:t>GB/T 12628</w:t>
            </w:r>
            <w:r>
              <w:rPr>
                <w:rFonts w:ascii="宋体" w:hAnsi="宋体" w:cs="宋体" w:eastAsia="宋体"/>
                <w:sz w:val="21"/>
              </w:rPr>
              <w:t>相关规定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显卡规格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显卡类型</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独立显卡</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独立显卡显存类型</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DDR4</w:t>
            </w:r>
            <w:r>
              <w:rPr>
                <w:rFonts w:ascii="宋体" w:hAnsi="宋体" w:cs="宋体" w:eastAsia="宋体"/>
                <w:sz w:val="21"/>
              </w:rPr>
              <w:t>及以上</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独立显卡显存位宽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16</w:t>
            </w:r>
            <w:r>
              <w:rPr>
                <w:rFonts w:ascii="宋体" w:hAnsi="宋体" w:cs="宋体" w:eastAsia="宋体"/>
                <w:sz w:val="21"/>
              </w:rPr>
              <w:t>位</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独立显卡显存容量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8GB</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独立显卡芯片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RTX3050</w:t>
            </w:r>
            <w:r>
              <w:rPr>
                <w:rFonts w:ascii="宋体" w:hAnsi="宋体" w:cs="宋体" w:eastAsia="宋体"/>
                <w:sz w:val="21"/>
              </w:rPr>
              <w:t>及以上芯片</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22</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显示设备规格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显示屏屏占比</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80%</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显示屏分辨率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1920x1080</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显示屏像素密度</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85</w:t>
            </w:r>
            <w:r>
              <w:rPr>
                <w:rFonts w:ascii="宋体" w:hAnsi="宋体" w:cs="宋体" w:eastAsia="宋体"/>
                <w:sz w:val="21"/>
              </w:rPr>
              <w:t xml:space="preserve">像素 </w:t>
            </w:r>
            <w:r>
              <w:rPr>
                <w:rFonts w:ascii="calibri" w:hAnsi="calibri" w:cs="calibri" w:eastAsia="calibri"/>
                <w:sz w:val="21"/>
              </w:rPr>
              <w:t>/</w:t>
            </w:r>
            <w:r>
              <w:rPr>
                <w:rFonts w:ascii="宋体" w:hAnsi="宋体" w:cs="宋体" w:eastAsia="宋体"/>
                <w:sz w:val="21"/>
              </w:rPr>
              <w:t>英寸</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显示屏可视角度</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水平 ≥</w:t>
            </w:r>
            <w:r>
              <w:rPr>
                <w:rFonts w:ascii="calibri" w:hAnsi="calibri" w:cs="calibri" w:eastAsia="calibri"/>
                <w:sz w:val="21"/>
              </w:rPr>
              <w:t>170</w:t>
            </w:r>
            <w:r>
              <w:rPr>
                <w:rFonts w:ascii="宋体" w:hAnsi="宋体" w:cs="宋体" w:eastAsia="宋体"/>
                <w:sz w:val="21"/>
              </w:rPr>
              <w:t>°</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显示屏尺寸</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23.8</w:t>
            </w:r>
            <w:r>
              <w:rPr>
                <w:rFonts w:ascii="宋体" w:hAnsi="宋体" w:cs="宋体" w:eastAsia="宋体"/>
                <w:sz w:val="21"/>
              </w:rPr>
              <w:t>英寸</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显示屏屏幕比例</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16:9</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显示器外观颜色</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黑色 </w:t>
            </w:r>
            <w:r>
              <w:rPr>
                <w:rFonts w:ascii="calibri" w:hAnsi="calibri" w:cs="calibri" w:eastAsia="calibri"/>
                <w:sz w:val="21"/>
              </w:rPr>
              <w:t>/</w:t>
            </w:r>
            <w:r>
              <w:rPr>
                <w:rFonts w:ascii="宋体" w:hAnsi="宋体" w:cs="宋体" w:eastAsia="宋体"/>
                <w:sz w:val="21"/>
              </w:rPr>
              <w:t xml:space="preserve">白色 </w:t>
            </w:r>
            <w:r>
              <w:rPr>
                <w:rFonts w:ascii="calibri" w:hAnsi="calibri" w:cs="calibri" w:eastAsia="calibri"/>
                <w:sz w:val="21"/>
              </w:rPr>
              <w:t>/</w:t>
            </w:r>
            <w:r>
              <w:rPr>
                <w:rFonts w:ascii="宋体" w:hAnsi="宋体" w:cs="宋体" w:eastAsia="宋体"/>
                <w:sz w:val="21"/>
              </w:rPr>
              <w:t>银色等商务色系</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显示屏防蓝光</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支持防蓝光模式，蓝光加权辐射亮度比应 ≤</w:t>
            </w:r>
            <w:r>
              <w:rPr>
                <w:rFonts w:ascii="calibri" w:hAnsi="calibri" w:cs="calibri" w:eastAsia="calibri"/>
                <w:sz w:val="21"/>
              </w:rPr>
              <w:t>0.0012W/(</w:t>
            </w:r>
            <w:r>
              <w:rPr>
                <w:rFonts w:ascii="宋体" w:hAnsi="宋体" w:cs="宋体" w:eastAsia="宋体"/>
                <w:sz w:val="21"/>
              </w:rPr>
              <w:t>·</w:t>
            </w:r>
            <w:r>
              <w:rPr>
                <w:rFonts w:ascii="calibri" w:hAnsi="calibri" w:cs="calibri" w:eastAsia="calibri"/>
                <w:sz w:val="21"/>
              </w:rPr>
              <w:t>cd</w:t>
            </w:r>
            <w:r>
              <w:rPr>
                <w:rFonts w:ascii="宋体" w:hAnsi="宋体" w:cs="宋体" w:eastAsia="宋体"/>
                <w:sz w:val="21"/>
              </w:rPr>
              <w:t>·</w:t>
            </w:r>
            <w:r>
              <w:rPr>
                <w:rFonts w:ascii="calibri" w:hAnsi="calibri" w:cs="calibri" w:eastAsia="calibri"/>
                <w:sz w:val="21"/>
              </w:rPr>
              <w:t>sr)</w:t>
            </w:r>
            <w:r>
              <w:rPr>
                <w:rFonts w:ascii="宋体" w:hAnsi="宋体" w:cs="宋体" w:eastAsia="宋体"/>
                <w:sz w:val="21"/>
              </w:rPr>
              <w:t>（瓦每坎特拉每球面度）</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显示屏低频闪</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显示屏应支持低频闪 ≤</w:t>
            </w:r>
            <w:r>
              <w:rPr>
                <w:rFonts w:ascii="calibri" w:hAnsi="calibri" w:cs="calibri" w:eastAsia="calibri"/>
                <w:sz w:val="21"/>
              </w:rPr>
              <w:t>-35dB</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显示屏防炫目</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显示屏镜面反射率 ≤</w:t>
            </w:r>
            <w:r>
              <w:rPr>
                <w:rFonts w:ascii="calibri" w:hAnsi="calibri" w:cs="calibri" w:eastAsia="calibri"/>
                <w:sz w:val="21"/>
              </w:rPr>
              <w:t>10%</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其他要求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显示器与主机同品牌</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33</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外设规格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鼠标数量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个</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个</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光驱数量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无</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键盘按键数目</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104</w:t>
            </w:r>
            <w:r>
              <w:rPr>
                <w:rFonts w:ascii="宋体" w:hAnsi="宋体" w:cs="宋体" w:eastAsia="宋体"/>
                <w:sz w:val="21"/>
              </w:rPr>
              <w:t>键</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键盘连接方式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有线</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键盘键程</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2.3mm ~ 4.0mm</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键盘按键压力</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按键压力应在 </w:t>
            </w:r>
            <w:r>
              <w:rPr>
                <w:rFonts w:ascii="calibri" w:hAnsi="calibri" w:cs="calibri" w:eastAsia="calibri"/>
                <w:sz w:val="21"/>
              </w:rPr>
              <w:t>0.54 N</w:t>
            </w:r>
            <w:r>
              <w:rPr>
                <w:rFonts w:ascii="宋体" w:hAnsi="宋体" w:cs="宋体" w:eastAsia="宋体"/>
                <w:sz w:val="21"/>
              </w:rPr>
              <w:t>±</w:t>
            </w:r>
            <w:r>
              <w:rPr>
                <w:rFonts w:ascii="calibri" w:hAnsi="calibri" w:cs="calibri" w:eastAsia="calibri"/>
                <w:sz w:val="21"/>
              </w:rPr>
              <w:t>0.14N</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有线键盘连接线</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1.5</w:t>
            </w:r>
            <w:r>
              <w:rPr>
                <w:rFonts w:ascii="宋体" w:hAnsi="宋体" w:cs="宋体" w:eastAsia="宋体"/>
                <w:sz w:val="21"/>
              </w:rPr>
              <w:t>米</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键盘颜色</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黑色 </w:t>
            </w:r>
            <w:r>
              <w:rPr>
                <w:rFonts w:ascii="calibri" w:hAnsi="calibri" w:cs="calibri" w:eastAsia="calibri"/>
                <w:sz w:val="21"/>
              </w:rPr>
              <w:t>/</w:t>
            </w:r>
            <w:r>
              <w:rPr>
                <w:rFonts w:ascii="宋体" w:hAnsi="宋体" w:cs="宋体" w:eastAsia="宋体"/>
                <w:sz w:val="21"/>
              </w:rPr>
              <w:t xml:space="preserve">白色 </w:t>
            </w:r>
            <w:r>
              <w:rPr>
                <w:rFonts w:ascii="calibri" w:hAnsi="calibri" w:cs="calibri" w:eastAsia="calibri"/>
                <w:sz w:val="21"/>
              </w:rPr>
              <w:t>/</w:t>
            </w:r>
            <w:r>
              <w:rPr>
                <w:rFonts w:ascii="宋体" w:hAnsi="宋体" w:cs="宋体" w:eastAsia="宋体"/>
                <w:sz w:val="21"/>
              </w:rPr>
              <w:t>银色等商务色系</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鼠标连接方式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有线</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有线鼠标连接线</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1.5</w:t>
            </w:r>
            <w:r>
              <w:rPr>
                <w:rFonts w:ascii="宋体" w:hAnsi="宋体" w:cs="宋体" w:eastAsia="宋体"/>
                <w:sz w:val="21"/>
              </w:rPr>
              <w:t>米</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 xml:space="preserve">鼠标 </w:t>
            </w:r>
            <w:r>
              <w:rPr>
                <w:rFonts w:ascii="calibri" w:hAnsi="calibri" w:cs="calibri" w:eastAsia="calibri"/>
                <w:sz w:val="21"/>
              </w:rPr>
              <w:t>DPI</w:t>
            </w:r>
            <w:r>
              <w:rPr>
                <w:rFonts w:ascii="宋体" w:hAnsi="宋体" w:cs="宋体" w:eastAsia="宋体"/>
                <w:sz w:val="21"/>
              </w:rPr>
              <w:t>分辨率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800~1600</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鼠标颜色</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黑色 </w:t>
            </w:r>
            <w:r>
              <w:rPr>
                <w:rFonts w:ascii="calibri" w:hAnsi="calibri" w:cs="calibri" w:eastAsia="calibri"/>
                <w:sz w:val="21"/>
              </w:rPr>
              <w:t>/</w:t>
            </w:r>
            <w:r>
              <w:rPr>
                <w:rFonts w:ascii="宋体" w:hAnsi="宋体" w:cs="宋体" w:eastAsia="宋体"/>
                <w:sz w:val="21"/>
              </w:rPr>
              <w:t xml:space="preserve">银色 </w:t>
            </w:r>
            <w:r>
              <w:rPr>
                <w:rFonts w:ascii="calibri" w:hAnsi="calibri" w:cs="calibri" w:eastAsia="calibri"/>
                <w:sz w:val="21"/>
              </w:rPr>
              <w:t>/</w:t>
            </w:r>
            <w:r>
              <w:rPr>
                <w:rFonts w:ascii="宋体" w:hAnsi="宋体" w:cs="宋体" w:eastAsia="宋体"/>
                <w:sz w:val="21"/>
              </w:rPr>
              <w:t>白色等商务色系</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鼠标其他要求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其它参数应符合 </w:t>
            </w:r>
            <w:r>
              <w:rPr>
                <w:rFonts w:ascii="calibri" w:hAnsi="calibri" w:cs="calibri" w:eastAsia="calibri"/>
                <w:sz w:val="21"/>
              </w:rPr>
              <w:t>GB/T 26245</w:t>
            </w:r>
            <w:r>
              <w:rPr>
                <w:rFonts w:ascii="宋体" w:hAnsi="宋体" w:cs="宋体" w:eastAsia="宋体"/>
                <w:sz w:val="21"/>
              </w:rPr>
              <w:t>的相关规定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47</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网络设备规格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有线网卡数量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48</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外部接口规格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USB</w:t>
            </w:r>
            <w:r>
              <w:rPr>
                <w:rFonts w:ascii="宋体" w:hAnsi="宋体" w:cs="宋体" w:eastAsia="宋体"/>
                <w:sz w:val="21"/>
              </w:rPr>
              <w:t>接口数量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机箱前面板应提供不少于 </w:t>
            </w:r>
            <w:r>
              <w:rPr>
                <w:rFonts w:ascii="calibri" w:hAnsi="calibri" w:cs="calibri" w:eastAsia="calibri"/>
                <w:sz w:val="21"/>
              </w:rPr>
              <w:t>4</w:t>
            </w:r>
            <w:r>
              <w:rPr>
                <w:rFonts w:ascii="宋体" w:hAnsi="宋体" w:cs="宋体" w:eastAsia="宋体"/>
                <w:sz w:val="21"/>
              </w:rPr>
              <w:t xml:space="preserve">个 </w:t>
            </w:r>
            <w:r>
              <w:rPr>
                <w:rFonts w:ascii="calibri" w:hAnsi="calibri" w:cs="calibri" w:eastAsia="calibri"/>
                <w:sz w:val="21"/>
              </w:rPr>
              <w:t>USB</w:t>
            </w:r>
            <w:r>
              <w:rPr>
                <w:rFonts w:ascii="宋体" w:hAnsi="宋体" w:cs="宋体" w:eastAsia="宋体"/>
                <w:sz w:val="21"/>
              </w:rPr>
              <w:t xml:space="preserve">接口（含 </w:t>
            </w:r>
            <w:r>
              <w:rPr>
                <w:rFonts w:ascii="calibri" w:hAnsi="calibri" w:cs="calibri" w:eastAsia="calibri"/>
                <w:sz w:val="21"/>
              </w:rPr>
              <w:t>2</w:t>
            </w:r>
            <w:r>
              <w:rPr>
                <w:rFonts w:ascii="宋体" w:hAnsi="宋体" w:cs="宋体" w:eastAsia="宋体"/>
                <w:sz w:val="21"/>
              </w:rPr>
              <w:t xml:space="preserve">个 </w:t>
            </w:r>
            <w:r>
              <w:rPr>
                <w:rFonts w:ascii="calibri" w:hAnsi="calibri" w:cs="calibri" w:eastAsia="calibri"/>
                <w:sz w:val="21"/>
              </w:rPr>
              <w:t>USB3.0</w:t>
            </w:r>
            <w:r>
              <w:rPr>
                <w:rFonts w:ascii="宋体" w:hAnsi="宋体" w:cs="宋体" w:eastAsia="宋体"/>
                <w:sz w:val="21"/>
              </w:rPr>
              <w:t>及以上接口）</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视频接口数量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2</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音频接口数量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5</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51</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整机基础规格</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整机外观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a)</w:t>
            </w:r>
            <w:r>
              <w:rPr>
                <w:rFonts w:ascii="宋体" w:hAnsi="宋体" w:cs="宋体" w:eastAsia="宋体"/>
                <w:sz w:val="21"/>
              </w:rPr>
              <w:t>产品表面不应有凹痕、划伤、裂缝、变形和污染等。表面涂层均匀，不应起泡、龟裂、脱落和磨损，金属零部件无锈蚀及其它机械损伤；</w:t>
            </w:r>
          </w:p>
          <w:p>
            <w:pPr>
              <w:pStyle w:val="null3"/>
              <w:jc w:val="left"/>
            </w:pPr>
            <w:r>
              <w:rPr>
                <w:rFonts w:ascii="calibri" w:hAnsi="calibri" w:cs="calibri" w:eastAsia="calibri"/>
                <w:sz w:val="21"/>
              </w:rPr>
              <w:t>b)</w:t>
            </w:r>
            <w:r>
              <w:rPr>
                <w:rFonts w:ascii="宋体" w:hAnsi="宋体" w:cs="宋体" w:eastAsia="宋体"/>
                <w:sz w:val="21"/>
              </w:rPr>
              <w:t>产品表面说明功能的文字、符号、标志，应清晰、端正、牢固</w:t>
            </w:r>
            <w:r>
              <w:rPr>
                <w:rFonts w:ascii="宋体" w:hAnsi="宋体" w:cs="宋体" w:eastAsia="宋体"/>
                <w:sz w:val="21"/>
              </w:rPr>
              <w:t>。</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状态指示灯</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在机箱前置面板提供网络状态指示功能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整机结构</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a)</w:t>
            </w:r>
            <w:r>
              <w:rPr>
                <w:rFonts w:ascii="宋体" w:hAnsi="宋体" w:cs="宋体" w:eastAsia="宋体"/>
                <w:sz w:val="21"/>
              </w:rPr>
              <w:t xml:space="preserve">机箱应符合 </w:t>
            </w:r>
            <w:r>
              <w:rPr>
                <w:rFonts w:ascii="calibri" w:hAnsi="calibri" w:cs="calibri" w:eastAsia="calibri"/>
                <w:sz w:val="21"/>
              </w:rPr>
              <w:t>GB/T 4208</w:t>
            </w:r>
            <w:r>
              <w:rPr>
                <w:rFonts w:ascii="宋体" w:hAnsi="宋体" w:cs="宋体" w:eastAsia="宋体"/>
                <w:sz w:val="21"/>
              </w:rPr>
              <w:t>、</w:t>
            </w:r>
            <w:r>
              <w:rPr>
                <w:rFonts w:ascii="calibri" w:hAnsi="calibri" w:cs="calibri" w:eastAsia="calibri"/>
                <w:sz w:val="21"/>
              </w:rPr>
              <w:t>GB/T 26246</w:t>
            </w:r>
            <w:r>
              <w:rPr>
                <w:rFonts w:ascii="宋体" w:hAnsi="宋体" w:cs="宋体" w:eastAsia="宋体"/>
                <w:sz w:val="21"/>
              </w:rPr>
              <w:t>的相关规定；</w:t>
            </w:r>
          </w:p>
          <w:p>
            <w:pPr>
              <w:pStyle w:val="null3"/>
              <w:jc w:val="left"/>
            </w:pPr>
            <w:r>
              <w:rPr>
                <w:rFonts w:ascii="calibri" w:hAnsi="calibri" w:cs="calibri" w:eastAsia="calibri"/>
                <w:sz w:val="21"/>
              </w:rPr>
              <w:t>b)</w:t>
            </w:r>
            <w:r>
              <w:rPr>
                <w:rFonts w:ascii="宋体" w:hAnsi="宋体" w:cs="宋体" w:eastAsia="宋体"/>
                <w:sz w:val="21"/>
              </w:rPr>
              <w:t>产品内部结构应符合通用部件的安装需求；</w:t>
            </w:r>
          </w:p>
          <w:p>
            <w:pPr>
              <w:pStyle w:val="null3"/>
              <w:jc w:val="left"/>
            </w:pPr>
            <w:r>
              <w:rPr>
                <w:rFonts w:ascii="calibri" w:hAnsi="calibri" w:cs="calibri" w:eastAsia="calibri"/>
                <w:sz w:val="21"/>
              </w:rPr>
              <w:t>c)</w:t>
            </w:r>
            <w:r>
              <w:rPr>
                <w:rFonts w:ascii="宋体" w:hAnsi="宋体" w:cs="宋体" w:eastAsia="宋体"/>
                <w:sz w:val="21"/>
              </w:rPr>
              <w:t>所有输入输出接口应符合相关国家或行业标准；</w:t>
            </w:r>
          </w:p>
          <w:p>
            <w:pPr>
              <w:pStyle w:val="null3"/>
              <w:jc w:val="left"/>
            </w:pPr>
            <w:r>
              <w:rPr>
                <w:rFonts w:ascii="calibri" w:hAnsi="calibri" w:cs="calibri" w:eastAsia="calibri"/>
                <w:sz w:val="21"/>
              </w:rPr>
              <w:t>d)</w:t>
            </w:r>
            <w:r>
              <w:rPr>
                <w:rFonts w:ascii="宋体" w:hAnsi="宋体" w:cs="宋体" w:eastAsia="宋体"/>
                <w:sz w:val="21"/>
              </w:rPr>
              <w:t>产品零部件应紧固无松动，可插拔部件应可靠连接，开关、按钮和其它控制部件应灵活可靠，布局应方便使用；</w:t>
            </w:r>
          </w:p>
          <w:p>
            <w:pPr>
              <w:pStyle w:val="null3"/>
              <w:jc w:val="left"/>
            </w:pPr>
            <w:r>
              <w:rPr>
                <w:rFonts w:ascii="calibri" w:hAnsi="calibri" w:cs="calibri" w:eastAsia="calibri"/>
                <w:sz w:val="21"/>
              </w:rPr>
              <w:t>e)</w:t>
            </w:r>
            <w:r>
              <w:rPr>
                <w:rFonts w:ascii="宋体" w:hAnsi="宋体" w:cs="宋体" w:eastAsia="宋体"/>
                <w:sz w:val="21"/>
              </w:rPr>
              <w:t xml:space="preserve">所有 </w:t>
            </w:r>
            <w:r>
              <w:rPr>
                <w:rFonts w:ascii="calibri" w:hAnsi="calibri" w:cs="calibri" w:eastAsia="calibri"/>
                <w:sz w:val="21"/>
              </w:rPr>
              <w:t>I/O</w:t>
            </w:r>
            <w:r>
              <w:rPr>
                <w:rFonts w:ascii="宋体" w:hAnsi="宋体" w:cs="宋体" w:eastAsia="宋体"/>
                <w:sz w:val="21"/>
              </w:rPr>
              <w:t>连接器及需插接线缆的部位应预留采购人操作空间，方便插拔解锁与插拔线缆；</w:t>
            </w:r>
          </w:p>
          <w:p>
            <w:pPr>
              <w:pStyle w:val="null3"/>
              <w:jc w:val="left"/>
            </w:pPr>
            <w:r>
              <w:rPr>
                <w:rFonts w:ascii="calibri" w:hAnsi="calibri" w:cs="calibri" w:eastAsia="calibri"/>
                <w:sz w:val="21"/>
              </w:rPr>
              <w:t>f)</w:t>
            </w:r>
            <w:r>
              <w:rPr>
                <w:rFonts w:ascii="宋体" w:hAnsi="宋体" w:cs="宋体" w:eastAsia="宋体"/>
                <w:sz w:val="21"/>
              </w:rPr>
              <w:t>可插拔板卡插槽部位应预留安装、拆卸或更换板卡空间；</w:t>
            </w:r>
          </w:p>
          <w:p>
            <w:pPr>
              <w:pStyle w:val="null3"/>
              <w:jc w:val="left"/>
            </w:pPr>
            <w:r>
              <w:rPr>
                <w:rFonts w:ascii="calibri" w:hAnsi="calibri" w:cs="calibri" w:eastAsia="calibri"/>
                <w:sz w:val="21"/>
              </w:rPr>
              <w:t>g)</w:t>
            </w:r>
            <w:r>
              <w:rPr>
                <w:rFonts w:ascii="宋体" w:hAnsi="宋体" w:cs="宋体" w:eastAsia="宋体"/>
                <w:sz w:val="21"/>
              </w:rPr>
              <w:t>拆装可能接触到的金属剪口或金属尖角部位应做防划伤处理，以保证安全；</w:t>
            </w:r>
          </w:p>
          <w:p>
            <w:pPr>
              <w:pStyle w:val="null3"/>
              <w:jc w:val="left"/>
            </w:pPr>
            <w:r>
              <w:rPr>
                <w:rFonts w:ascii="calibri" w:hAnsi="calibri" w:cs="calibri" w:eastAsia="calibri"/>
                <w:sz w:val="21"/>
              </w:rPr>
              <w:t>h)</w:t>
            </w:r>
            <w:r>
              <w:rPr>
                <w:rFonts w:ascii="宋体" w:hAnsi="宋体" w:cs="宋体" w:eastAsia="宋体"/>
                <w:sz w:val="21"/>
              </w:rPr>
              <w:t>整机内部走线应规整，固线结构和位置要合理可靠并做防割线处理，需便于理线和插拔操作，走线应不影响系统各主要部件组装和拆卸；</w:t>
            </w:r>
          </w:p>
          <w:p>
            <w:pPr>
              <w:pStyle w:val="null3"/>
              <w:jc w:val="left"/>
            </w:pPr>
            <w:r>
              <w:rPr>
                <w:rFonts w:ascii="calibri" w:hAnsi="calibri" w:cs="calibri" w:eastAsia="calibri"/>
                <w:sz w:val="21"/>
              </w:rPr>
              <w:t>i)</w:t>
            </w:r>
            <w:r>
              <w:rPr>
                <w:rFonts w:ascii="宋体" w:hAnsi="宋体" w:cs="宋体" w:eastAsia="宋体"/>
                <w:sz w:val="21"/>
              </w:rPr>
              <w:t>如需通过孔走线，过线孔应做防割线处理；</w:t>
            </w:r>
          </w:p>
          <w:p>
            <w:pPr>
              <w:pStyle w:val="null3"/>
              <w:jc w:val="left"/>
            </w:pPr>
            <w:r>
              <w:rPr>
                <w:rFonts w:ascii="calibri" w:hAnsi="calibri" w:cs="calibri" w:eastAsia="calibri"/>
                <w:sz w:val="21"/>
              </w:rPr>
              <w:t>j)</w:t>
            </w:r>
            <w:r>
              <w:rPr>
                <w:rFonts w:ascii="宋体" w:hAnsi="宋体" w:cs="宋体" w:eastAsia="宋体"/>
                <w:sz w:val="21"/>
              </w:rPr>
              <w:t>各插头位置和插拔方向应合理，应做到插拔无障碍设计，具备防呆设计，有效避免误操作；</w:t>
            </w:r>
          </w:p>
          <w:p>
            <w:pPr>
              <w:pStyle w:val="null3"/>
              <w:jc w:val="left"/>
            </w:pPr>
            <w:r>
              <w:rPr>
                <w:rFonts w:ascii="calibri" w:hAnsi="calibri" w:cs="calibri" w:eastAsia="calibri"/>
                <w:sz w:val="21"/>
              </w:rPr>
              <w:t>k)</w:t>
            </w:r>
            <w:r>
              <w:rPr>
                <w:rFonts w:ascii="宋体" w:hAnsi="宋体" w:cs="宋体" w:eastAsia="宋体"/>
                <w:sz w:val="21"/>
              </w:rPr>
              <w:t>各主要部件拆装无障碍，使用常规工具拆装，无特殊拆装工具需求；</w:t>
            </w:r>
          </w:p>
          <w:p>
            <w:pPr>
              <w:pStyle w:val="null3"/>
              <w:jc w:val="left"/>
            </w:pPr>
            <w:r>
              <w:rPr>
                <w:rFonts w:ascii="calibri" w:hAnsi="calibri" w:cs="calibri" w:eastAsia="calibri"/>
                <w:sz w:val="21"/>
              </w:rPr>
              <w:t>l)</w:t>
            </w:r>
            <w:r>
              <w:rPr>
                <w:rFonts w:ascii="宋体" w:hAnsi="宋体" w:cs="宋体" w:eastAsia="宋体"/>
                <w:sz w:val="21"/>
              </w:rPr>
              <w:t>各主要部件拆装步骤要少，各自拆装需避免相互干扰；</w:t>
            </w:r>
          </w:p>
          <w:p>
            <w:pPr>
              <w:pStyle w:val="null3"/>
              <w:jc w:val="left"/>
            </w:pPr>
            <w:r>
              <w:rPr>
                <w:rFonts w:ascii="calibri" w:hAnsi="calibri" w:cs="calibri" w:eastAsia="calibri"/>
                <w:sz w:val="21"/>
              </w:rPr>
              <w:t>m)</w:t>
            </w:r>
            <w:r>
              <w:rPr>
                <w:rFonts w:ascii="宋体" w:hAnsi="宋体" w:cs="宋体" w:eastAsia="宋体"/>
                <w:sz w:val="21"/>
              </w:rPr>
              <w:t>对于整机或零部件外表面为高亮面的，应粘贴保护膜，保护膜需粘贴牢固，运输、组装等过程不易脱落，撕下无残留；</w:t>
            </w:r>
          </w:p>
          <w:p>
            <w:pPr>
              <w:pStyle w:val="null3"/>
              <w:jc w:val="left"/>
            </w:pPr>
            <w:r>
              <w:rPr>
                <w:rFonts w:ascii="calibri" w:hAnsi="calibri" w:cs="calibri" w:eastAsia="calibri"/>
                <w:sz w:val="21"/>
              </w:rPr>
              <w:t>n)</w:t>
            </w:r>
            <w:r>
              <w:rPr>
                <w:rFonts w:ascii="宋体" w:hAnsi="宋体" w:cs="宋体" w:eastAsia="宋体"/>
                <w:sz w:val="21"/>
              </w:rPr>
              <w:t xml:space="preserve">其它要求应符合 </w:t>
            </w:r>
            <w:r>
              <w:rPr>
                <w:rFonts w:ascii="calibri" w:hAnsi="calibri" w:cs="calibri" w:eastAsia="calibri"/>
                <w:sz w:val="21"/>
              </w:rPr>
              <w:t>GB/T 9813.1</w:t>
            </w:r>
            <w:r>
              <w:rPr>
                <w:rFonts w:ascii="宋体" w:hAnsi="宋体" w:cs="宋体" w:eastAsia="宋体"/>
                <w:sz w:val="21"/>
              </w:rPr>
              <w:t>的相关规定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机箱防护要求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机箱应符合 </w:t>
            </w:r>
            <w:r>
              <w:rPr>
                <w:rFonts w:ascii="calibri" w:hAnsi="calibri" w:cs="calibri" w:eastAsia="calibri"/>
                <w:sz w:val="21"/>
              </w:rPr>
              <w:t>GB/T 4208</w:t>
            </w:r>
            <w:r>
              <w:rPr>
                <w:rFonts w:ascii="宋体" w:hAnsi="宋体" w:cs="宋体" w:eastAsia="宋体"/>
                <w:sz w:val="21"/>
              </w:rPr>
              <w:t xml:space="preserve">中 </w:t>
            </w:r>
            <w:r>
              <w:rPr>
                <w:rFonts w:ascii="calibri" w:hAnsi="calibri" w:cs="calibri" w:eastAsia="calibri"/>
                <w:sz w:val="21"/>
              </w:rPr>
              <w:t>IP20</w:t>
            </w:r>
            <w:r>
              <w:rPr>
                <w:rFonts w:ascii="宋体" w:hAnsi="宋体" w:cs="宋体" w:eastAsia="宋体"/>
                <w:sz w:val="21"/>
              </w:rPr>
              <w:t>防护要求</w:t>
            </w:r>
            <w:r>
              <w:rPr>
                <w:rFonts w:ascii="宋体" w:hAnsi="宋体" w:cs="宋体" w:eastAsia="宋体"/>
                <w:sz w:val="21"/>
              </w:rPr>
              <w:t>，防尘机箱</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整机噪音</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产品工作在空闲状态下，产品的声功率级应不超过 </w:t>
            </w:r>
            <w:r>
              <w:rPr>
                <w:rFonts w:ascii="calibri" w:hAnsi="calibri" w:cs="calibri" w:eastAsia="calibri"/>
                <w:sz w:val="21"/>
              </w:rPr>
              <w:t>4.5 Be</w:t>
            </w:r>
            <w:r>
              <w:rPr>
                <w:rFonts w:ascii="calibri" w:hAnsi="calibri" w:cs="calibri" w:eastAsia="calibri"/>
                <w:sz w:val="21"/>
              </w:rPr>
              <w:t>l</w:t>
            </w:r>
            <w:r>
              <w:rPr>
                <w:rFonts w:ascii="宋体" w:hAnsi="宋体" w:cs="宋体" w:eastAsia="宋体"/>
                <w:sz w:val="21"/>
              </w:rPr>
              <w:t>，</w:t>
            </w:r>
            <w:r>
              <w:rPr>
                <w:rFonts w:ascii="宋体" w:hAnsi="宋体" w:cs="宋体" w:eastAsia="宋体"/>
                <w:sz w:val="21"/>
              </w:rPr>
              <w:t>噪声声压小于</w:t>
            </w:r>
            <w:r>
              <w:rPr>
                <w:rFonts w:ascii="calibri" w:hAnsi="calibri" w:cs="calibri" w:eastAsia="calibri"/>
                <w:sz w:val="21"/>
              </w:rPr>
              <w:t>20db</w:t>
            </w:r>
            <w:r>
              <w:rPr>
                <w:rFonts w:ascii="宋体" w:hAnsi="宋体" w:cs="宋体" w:eastAsia="宋体"/>
                <w:sz w:val="21"/>
              </w:rPr>
              <w:t>（</w:t>
            </w:r>
            <w:r>
              <w:rPr>
                <w:rFonts w:ascii="calibri" w:hAnsi="calibri" w:cs="calibri" w:eastAsia="calibri"/>
                <w:sz w:val="21"/>
              </w:rPr>
              <w:t>A</w:t>
            </w:r>
            <w:r>
              <w:rPr>
                <w:rFonts w:ascii="宋体" w:hAnsi="宋体" w:cs="宋体" w:eastAsia="宋体"/>
                <w:sz w:val="21"/>
              </w:rPr>
              <w:t>），并提供相关证明材料；</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整机散热</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在环境温度 </w:t>
            </w:r>
            <w:r>
              <w:rPr>
                <w:rFonts w:ascii="calibri" w:hAnsi="calibri" w:cs="calibri" w:eastAsia="calibri"/>
                <w:sz w:val="21"/>
              </w:rPr>
              <w:t>25</w:t>
            </w:r>
            <w:r>
              <w:rPr>
                <w:rFonts w:ascii="宋体" w:hAnsi="宋体" w:cs="宋体" w:eastAsia="宋体"/>
                <w:sz w:val="21"/>
              </w:rPr>
              <w:t>℃及处理器满载情况下，产品表面温度应符合如下要求：</w:t>
            </w:r>
          </w:p>
          <w:p>
            <w:pPr>
              <w:pStyle w:val="null3"/>
              <w:jc w:val="left"/>
            </w:pPr>
            <w:r>
              <w:rPr>
                <w:rFonts w:ascii="calibri" w:hAnsi="calibri" w:cs="calibri" w:eastAsia="calibri"/>
                <w:sz w:val="21"/>
              </w:rPr>
              <w:t>a)</w:t>
            </w:r>
            <w:r>
              <w:rPr>
                <w:rFonts w:ascii="宋体" w:hAnsi="宋体" w:cs="宋体" w:eastAsia="宋体"/>
                <w:sz w:val="21"/>
              </w:rPr>
              <w:t xml:space="preserve">出风口在机箱后面板情况下，出风口温度不高于 </w:t>
            </w:r>
            <w:r>
              <w:rPr>
                <w:rFonts w:ascii="calibri" w:hAnsi="calibri" w:cs="calibri" w:eastAsia="calibri"/>
                <w:sz w:val="21"/>
              </w:rPr>
              <w:t>55</w:t>
            </w:r>
            <w:r>
              <w:rPr>
                <w:rFonts w:ascii="宋体" w:hAnsi="宋体" w:cs="宋体" w:eastAsia="宋体"/>
                <w:sz w:val="21"/>
              </w:rPr>
              <w:t>℃；</w:t>
            </w:r>
            <w:r>
              <w:rPr>
                <w:rFonts w:ascii="calibri" w:hAnsi="calibri" w:cs="calibri" w:eastAsia="calibri"/>
                <w:sz w:val="21"/>
              </w:rPr>
              <w:t>b)</w:t>
            </w:r>
            <w:r>
              <w:rPr>
                <w:rFonts w:ascii="宋体" w:hAnsi="宋体" w:cs="宋体" w:eastAsia="宋体"/>
                <w:sz w:val="21"/>
              </w:rPr>
              <w:t xml:space="preserve">可触及面温度不高于 </w:t>
            </w:r>
            <w:r>
              <w:rPr>
                <w:rFonts w:ascii="calibri" w:hAnsi="calibri" w:cs="calibri" w:eastAsia="calibri"/>
                <w:sz w:val="21"/>
              </w:rPr>
              <w:t>45</w:t>
            </w:r>
            <w:r>
              <w:rPr>
                <w:rFonts w:ascii="宋体" w:hAnsi="宋体" w:cs="宋体" w:eastAsia="宋体"/>
                <w:sz w:val="21"/>
              </w:rPr>
              <w:t>℃；</w:t>
            </w:r>
            <w:r>
              <w:rPr>
                <w:rFonts w:ascii="calibri" w:hAnsi="calibri" w:cs="calibri" w:eastAsia="calibri"/>
                <w:sz w:val="21"/>
              </w:rPr>
              <w:t>c)</w:t>
            </w:r>
            <w:r>
              <w:rPr>
                <w:rFonts w:ascii="宋体" w:hAnsi="宋体" w:cs="宋体" w:eastAsia="宋体"/>
                <w:sz w:val="21"/>
              </w:rPr>
              <w:t>显示器表面温度：显示屏不高于</w:t>
            </w:r>
            <w:r>
              <w:rPr>
                <w:rFonts w:ascii="calibri" w:hAnsi="calibri" w:cs="calibri" w:eastAsia="calibri"/>
                <w:sz w:val="21"/>
              </w:rPr>
              <w:t>38</w:t>
            </w:r>
            <w:r>
              <w:rPr>
                <w:rFonts w:ascii="宋体" w:hAnsi="宋体" w:cs="宋体" w:eastAsia="宋体"/>
                <w:sz w:val="21"/>
              </w:rPr>
              <w:t xml:space="preserve">℃，显示屏上下灯带位置温度（如涉及）不高于 </w:t>
            </w:r>
            <w:r>
              <w:rPr>
                <w:rFonts w:ascii="calibri" w:hAnsi="calibri" w:cs="calibri" w:eastAsia="calibri"/>
                <w:sz w:val="21"/>
              </w:rPr>
              <w:t>40</w:t>
            </w:r>
            <w:r>
              <w:rPr>
                <w:rFonts w:ascii="宋体" w:hAnsi="宋体" w:cs="宋体" w:eastAsia="宋体"/>
                <w:sz w:val="21"/>
              </w:rPr>
              <w:t xml:space="preserve">℃，出风口温度不高于 </w:t>
            </w:r>
            <w:r>
              <w:rPr>
                <w:rFonts w:ascii="calibri" w:hAnsi="calibri" w:cs="calibri" w:eastAsia="calibri"/>
                <w:sz w:val="21"/>
              </w:rPr>
              <w:t>45</w:t>
            </w:r>
            <w:r>
              <w:rPr>
                <w:rFonts w:ascii="宋体" w:hAnsi="宋体" w:cs="宋体" w:eastAsia="宋体"/>
                <w:sz w:val="21"/>
              </w:rPr>
              <w:t>℃</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整机能效限定值</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产品能效限定值应达到 </w:t>
            </w:r>
            <w:r>
              <w:rPr>
                <w:rFonts w:ascii="calibri" w:hAnsi="calibri" w:cs="calibri" w:eastAsia="calibri"/>
                <w:sz w:val="21"/>
              </w:rPr>
              <w:t>GB 28380-2012</w:t>
            </w:r>
            <w:r>
              <w:rPr>
                <w:rFonts w:ascii="宋体" w:hAnsi="宋体" w:cs="宋体" w:eastAsia="宋体"/>
                <w:sz w:val="21"/>
              </w:rPr>
              <w:t>标准中能效等级</w:t>
            </w:r>
            <w:r>
              <w:rPr>
                <w:rFonts w:ascii="calibri" w:hAnsi="calibri" w:cs="calibri" w:eastAsia="calibri"/>
                <w:sz w:val="21"/>
              </w:rPr>
              <w:t>2</w:t>
            </w:r>
            <w:r>
              <w:rPr>
                <w:rFonts w:ascii="宋体" w:hAnsi="宋体" w:cs="宋体" w:eastAsia="宋体"/>
                <w:sz w:val="21"/>
              </w:rPr>
              <w:t>级及以上</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机身材质</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塑料 </w:t>
            </w:r>
            <w:r>
              <w:rPr>
                <w:rFonts w:ascii="calibri" w:hAnsi="calibri" w:cs="calibri" w:eastAsia="calibri"/>
                <w:sz w:val="21"/>
              </w:rPr>
              <w:t>/</w:t>
            </w:r>
            <w:r>
              <w:rPr>
                <w:rFonts w:ascii="宋体" w:hAnsi="宋体" w:cs="宋体" w:eastAsia="宋体"/>
                <w:sz w:val="21"/>
              </w:rPr>
              <w:t>金属等</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机身颜色</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灰色 </w:t>
            </w:r>
            <w:r>
              <w:rPr>
                <w:rFonts w:ascii="calibri" w:hAnsi="calibri" w:cs="calibri" w:eastAsia="calibri"/>
                <w:sz w:val="21"/>
              </w:rPr>
              <w:t>/</w:t>
            </w:r>
            <w:r>
              <w:rPr>
                <w:rFonts w:ascii="宋体" w:hAnsi="宋体" w:cs="宋体" w:eastAsia="宋体"/>
                <w:sz w:val="21"/>
              </w:rPr>
              <w:t>黑色等商务色系</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机箱尺寸容量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30L</w:t>
            </w:r>
            <w:r>
              <w:rPr>
                <w:rFonts w:ascii="宋体" w:hAnsi="宋体" w:cs="宋体" w:eastAsia="宋体"/>
                <w:sz w:val="21"/>
              </w:rPr>
              <w:t xml:space="preserve">≥ 机箱体积≥ </w:t>
            </w:r>
            <w:r>
              <w:rPr>
                <w:rFonts w:ascii="calibri" w:hAnsi="calibri" w:cs="calibri" w:eastAsia="calibri"/>
                <w:sz w:val="21"/>
              </w:rPr>
              <w:t>25L</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61</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CPU</w:t>
            </w:r>
            <w:r>
              <w:rPr>
                <w:rFonts w:ascii="宋体" w:hAnsi="宋体" w:cs="宋体" w:eastAsia="宋体"/>
                <w:sz w:val="21"/>
              </w:rPr>
              <w:t>性能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CPU</w:t>
            </w:r>
            <w:r>
              <w:rPr>
                <w:rFonts w:ascii="宋体" w:hAnsi="宋体" w:cs="宋体" w:eastAsia="宋体"/>
                <w:sz w:val="21"/>
              </w:rPr>
              <w:t>物理核数</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8</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CPU</w:t>
            </w:r>
            <w:r>
              <w:rPr>
                <w:rFonts w:ascii="宋体" w:hAnsi="宋体" w:cs="宋体" w:eastAsia="宋体"/>
                <w:sz w:val="21"/>
              </w:rPr>
              <w:t>主频</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3.0</w:t>
            </w:r>
            <w:r>
              <w:rPr>
                <w:rFonts w:ascii="calibri" w:hAnsi="calibri" w:cs="calibri" w:eastAsia="calibri"/>
                <w:sz w:val="21"/>
              </w:rPr>
              <w:t>GHz</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CPU</w:t>
            </w:r>
            <w:r>
              <w:rPr>
                <w:rFonts w:ascii="宋体" w:hAnsi="宋体" w:cs="宋体" w:eastAsia="宋体"/>
                <w:sz w:val="21"/>
              </w:rPr>
              <w:t>末级缓存容量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16</w:t>
            </w:r>
            <w:r>
              <w:rPr>
                <w:rFonts w:ascii="calibri" w:hAnsi="calibri" w:cs="calibri" w:eastAsia="calibri"/>
                <w:sz w:val="21"/>
              </w:rPr>
              <w:t>MB</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CPU</w:t>
            </w:r>
            <w:r>
              <w:rPr>
                <w:rFonts w:ascii="宋体" w:hAnsi="宋体" w:cs="宋体" w:eastAsia="宋体"/>
                <w:sz w:val="21"/>
              </w:rPr>
              <w:t>支持的内存最高速率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2666MT/s</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内存性能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内存读写速率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2666MT/s</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66</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显卡性能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显示分辨率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1920x1080</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显卡显示芯片核心频率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1500MHz</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显存等效频率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1500MT/s</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显卡可支持多屏同时显示数量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显卡应支持 </w:t>
            </w:r>
            <w:r>
              <w:rPr>
                <w:rFonts w:ascii="calibri" w:hAnsi="calibri" w:cs="calibri" w:eastAsia="calibri"/>
                <w:sz w:val="21"/>
              </w:rPr>
              <w:t>2</w:t>
            </w:r>
            <w:r>
              <w:rPr>
                <w:rFonts w:ascii="宋体" w:hAnsi="宋体" w:cs="宋体" w:eastAsia="宋体"/>
                <w:sz w:val="21"/>
              </w:rPr>
              <w:t xml:space="preserve">块屏幕同时显示，分辨率应不低于 </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70</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显示设备性能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显示屏刷新率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100Hz</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显示屏位深</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8</w:t>
            </w:r>
            <w:r>
              <w:rPr>
                <w:rFonts w:ascii="宋体" w:hAnsi="宋体" w:cs="宋体" w:eastAsia="宋体"/>
                <w:sz w:val="21"/>
              </w:rPr>
              <w:t>位</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显示屏色域</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99% sRGB</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显示屏色准</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 xml:space="preserve">E </w:t>
            </w:r>
            <w:r>
              <w:rPr>
                <w:rFonts w:ascii="宋体" w:hAnsi="宋体" w:cs="宋体" w:eastAsia="宋体"/>
                <w:sz w:val="21"/>
              </w:rPr>
              <w:t xml:space="preserve">≤ </w:t>
            </w:r>
            <w:r>
              <w:rPr>
                <w:rFonts w:ascii="calibri" w:hAnsi="calibri" w:cs="calibri" w:eastAsia="calibri"/>
                <w:sz w:val="21"/>
              </w:rPr>
              <w:t>4</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显示屏响应时间</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8ms</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显示屏亮度</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250</w:t>
            </w:r>
            <w:r>
              <w:rPr>
                <w:rFonts w:ascii="宋体" w:hAnsi="宋体" w:cs="宋体" w:eastAsia="宋体"/>
                <w:sz w:val="21"/>
              </w:rPr>
              <w:t>尼特</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显示屏亮度一致性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70%</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显示屏对比度</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500</w:t>
            </w:r>
            <w:r>
              <w:rPr>
                <w:rFonts w:ascii="宋体" w:hAnsi="宋体" w:cs="宋体" w:eastAsia="宋体"/>
                <w:sz w:val="21"/>
              </w:rPr>
              <w:t xml:space="preserve">： </w:t>
            </w:r>
            <w:r>
              <w:rPr>
                <w:rFonts w:ascii="calibri" w:hAnsi="calibri" w:cs="calibri" w:eastAsia="calibri"/>
                <w:sz w:val="21"/>
              </w:rPr>
              <w:t>1</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显示屏其他参数</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其它参数应符合 </w:t>
            </w:r>
            <w:r>
              <w:rPr>
                <w:rFonts w:ascii="calibri" w:hAnsi="calibri" w:cs="calibri" w:eastAsia="calibri"/>
                <w:sz w:val="21"/>
              </w:rPr>
              <w:t>SJ/T 11292</w:t>
            </w:r>
            <w:r>
              <w:rPr>
                <w:rFonts w:ascii="宋体" w:hAnsi="宋体" w:cs="宋体" w:eastAsia="宋体"/>
                <w:sz w:val="21"/>
              </w:rPr>
              <w:t>的相关规定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79</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网络设备性能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有线网卡速率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最高速率应不低于 </w:t>
            </w:r>
            <w:r>
              <w:rPr>
                <w:rFonts w:ascii="calibri" w:hAnsi="calibri" w:cs="calibri" w:eastAsia="calibri"/>
                <w:sz w:val="21"/>
              </w:rPr>
              <w:t>1000Mbps</w:t>
            </w:r>
            <w:r>
              <w:rPr>
                <w:rFonts w:ascii="宋体" w:hAnsi="宋体" w:cs="宋体" w:eastAsia="宋体"/>
                <w:sz w:val="21"/>
              </w:rPr>
              <w:t>，应支持</w:t>
            </w:r>
            <w:r>
              <w:rPr>
                <w:rFonts w:ascii="calibri" w:hAnsi="calibri" w:cs="calibri" w:eastAsia="calibri"/>
                <w:sz w:val="21"/>
              </w:rPr>
              <w:t>10Mbps</w:t>
            </w:r>
            <w:r>
              <w:rPr>
                <w:rFonts w:ascii="宋体" w:hAnsi="宋体" w:cs="宋体" w:eastAsia="宋体"/>
                <w:sz w:val="21"/>
              </w:rPr>
              <w:t xml:space="preserve">、 </w:t>
            </w:r>
            <w:r>
              <w:rPr>
                <w:rFonts w:ascii="calibri" w:hAnsi="calibri" w:cs="calibri" w:eastAsia="calibri"/>
                <w:sz w:val="21"/>
              </w:rPr>
              <w:t>100Mbps</w:t>
            </w:r>
            <w:r>
              <w:rPr>
                <w:rFonts w:ascii="宋体" w:hAnsi="宋体" w:cs="宋体" w:eastAsia="宋体"/>
                <w:sz w:val="21"/>
              </w:rPr>
              <w:t xml:space="preserve">、 </w:t>
            </w:r>
            <w:r>
              <w:rPr>
                <w:rFonts w:ascii="calibri" w:hAnsi="calibri" w:cs="calibri" w:eastAsia="calibri"/>
                <w:sz w:val="21"/>
              </w:rPr>
              <w:t>1000Mbps</w:t>
            </w:r>
            <w:r>
              <w:rPr>
                <w:rFonts w:ascii="宋体" w:hAnsi="宋体" w:cs="宋体" w:eastAsia="宋体"/>
                <w:sz w:val="21"/>
              </w:rPr>
              <w:t>速率自适应</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80</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主板功能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内存扩展接口</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个</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存储扩展接口</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供应商给出主板支持存储扩展接口类型，如 </w:t>
            </w:r>
            <w:r>
              <w:rPr>
                <w:rFonts w:ascii="calibri" w:hAnsi="calibri" w:cs="calibri" w:eastAsia="calibri"/>
                <w:sz w:val="21"/>
              </w:rPr>
              <w:t>UFS3.0</w:t>
            </w:r>
            <w:r>
              <w:rPr>
                <w:rFonts w:ascii="宋体" w:hAnsi="宋体" w:cs="宋体" w:eastAsia="宋体"/>
                <w:sz w:val="21"/>
              </w:rPr>
              <w:t xml:space="preserve">、 </w:t>
            </w:r>
            <w:r>
              <w:rPr>
                <w:rFonts w:ascii="calibri" w:hAnsi="calibri" w:cs="calibri" w:eastAsia="calibri"/>
                <w:sz w:val="21"/>
              </w:rPr>
              <w:t>SATA3.0</w:t>
            </w:r>
            <w:r>
              <w:rPr>
                <w:rFonts w:ascii="宋体" w:hAnsi="宋体" w:cs="宋体" w:eastAsia="宋体"/>
                <w:sz w:val="21"/>
              </w:rPr>
              <w:t xml:space="preserve">、 </w:t>
            </w:r>
            <w:r>
              <w:rPr>
                <w:rFonts w:ascii="calibri" w:hAnsi="calibri" w:cs="calibri" w:eastAsia="calibri"/>
                <w:sz w:val="21"/>
              </w:rPr>
              <w:t>SAS3.0</w:t>
            </w:r>
            <w:r>
              <w:rPr>
                <w:rFonts w:ascii="宋体" w:hAnsi="宋体" w:cs="宋体" w:eastAsia="宋体"/>
                <w:sz w:val="21"/>
              </w:rPr>
              <w:t xml:space="preserve">、 </w:t>
            </w:r>
            <w:r>
              <w:rPr>
                <w:rFonts w:ascii="calibri" w:hAnsi="calibri" w:cs="calibri" w:eastAsia="calibri"/>
                <w:sz w:val="21"/>
              </w:rPr>
              <w:t>M.2</w:t>
            </w:r>
            <w:r>
              <w:rPr>
                <w:rFonts w:ascii="宋体" w:hAnsi="宋体" w:cs="宋体" w:eastAsia="宋体"/>
                <w:sz w:val="21"/>
              </w:rPr>
              <w:t>等类型接口</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 xml:space="preserve">主板 </w:t>
            </w:r>
            <w:r>
              <w:rPr>
                <w:rFonts w:ascii="calibri" w:hAnsi="calibri" w:cs="calibri" w:eastAsia="calibri"/>
                <w:sz w:val="21"/>
              </w:rPr>
              <w:t>USB</w:t>
            </w:r>
            <w:r>
              <w:rPr>
                <w:rFonts w:ascii="宋体" w:hAnsi="宋体" w:cs="宋体" w:eastAsia="宋体"/>
                <w:sz w:val="21"/>
              </w:rPr>
              <w:t>瞬间过流保护</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支持有瞬间过流保护功能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主板防静电保护</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支持防静电保护功能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I/O</w:t>
            </w:r>
            <w:r>
              <w:rPr>
                <w:rFonts w:ascii="宋体" w:hAnsi="宋体" w:cs="宋体" w:eastAsia="宋体"/>
                <w:sz w:val="21"/>
              </w:rPr>
              <w:t>接口功能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提供基于标准 </w:t>
            </w:r>
            <w:r>
              <w:rPr>
                <w:rFonts w:ascii="calibri" w:hAnsi="calibri" w:cs="calibri" w:eastAsia="calibri"/>
                <w:sz w:val="21"/>
              </w:rPr>
              <w:t>USB</w:t>
            </w:r>
            <w:r>
              <w:rPr>
                <w:rFonts w:ascii="宋体" w:hAnsi="宋体" w:cs="宋体" w:eastAsia="宋体"/>
                <w:sz w:val="21"/>
              </w:rPr>
              <w:t xml:space="preserve">接口外设连接功能、基于音频输入输出接口的音频扩展功能、基于 </w:t>
            </w:r>
            <w:r>
              <w:rPr>
                <w:rFonts w:ascii="calibri" w:hAnsi="calibri" w:cs="calibri" w:eastAsia="calibri"/>
                <w:sz w:val="21"/>
              </w:rPr>
              <w:t>PCIe</w:t>
            </w:r>
            <w:r>
              <w:rPr>
                <w:rFonts w:ascii="宋体" w:hAnsi="宋体" w:cs="宋体" w:eastAsia="宋体"/>
                <w:sz w:val="21"/>
              </w:rPr>
              <w:t xml:space="preserve">接口板卡扩展功能、基于 </w:t>
            </w:r>
            <w:r>
              <w:rPr>
                <w:rFonts w:ascii="calibri" w:hAnsi="calibri" w:cs="calibri" w:eastAsia="calibri"/>
                <w:sz w:val="21"/>
              </w:rPr>
              <w:t>HDMI</w:t>
            </w:r>
            <w:r>
              <w:rPr>
                <w:rFonts w:ascii="宋体" w:hAnsi="宋体" w:cs="宋体" w:eastAsia="宋体"/>
                <w:sz w:val="21"/>
              </w:rPr>
              <w:t xml:space="preserve">或 </w:t>
            </w:r>
            <w:r>
              <w:rPr>
                <w:rFonts w:ascii="calibri" w:hAnsi="calibri" w:cs="calibri" w:eastAsia="calibri"/>
                <w:sz w:val="21"/>
              </w:rPr>
              <w:t>VGA</w:t>
            </w:r>
            <w:r>
              <w:rPr>
                <w:rFonts w:ascii="宋体" w:hAnsi="宋体" w:cs="宋体" w:eastAsia="宋体"/>
                <w:sz w:val="21"/>
              </w:rPr>
              <w:t xml:space="preserve">或 </w:t>
            </w:r>
            <w:r>
              <w:rPr>
                <w:rFonts w:ascii="calibri" w:hAnsi="calibri" w:cs="calibri" w:eastAsia="calibri"/>
                <w:sz w:val="21"/>
              </w:rPr>
              <w:t>Type-C</w:t>
            </w:r>
            <w:r>
              <w:rPr>
                <w:rFonts w:ascii="宋体" w:hAnsi="宋体" w:cs="宋体" w:eastAsia="宋体"/>
                <w:sz w:val="21"/>
              </w:rPr>
              <w:t xml:space="preserve">或 </w:t>
            </w:r>
            <w:r>
              <w:rPr>
                <w:rFonts w:ascii="calibri" w:hAnsi="calibri" w:cs="calibri" w:eastAsia="calibri"/>
                <w:sz w:val="21"/>
              </w:rPr>
              <w:t>DVI</w:t>
            </w:r>
            <w:r>
              <w:rPr>
                <w:rFonts w:ascii="宋体" w:hAnsi="宋体" w:cs="宋体" w:eastAsia="宋体"/>
                <w:sz w:val="21"/>
              </w:rPr>
              <w:t xml:space="preserve">或 </w:t>
            </w:r>
            <w:r>
              <w:rPr>
                <w:rFonts w:ascii="calibri" w:hAnsi="calibri" w:cs="calibri" w:eastAsia="calibri"/>
                <w:sz w:val="21"/>
              </w:rPr>
              <w:t>DP</w:t>
            </w:r>
            <w:r>
              <w:rPr>
                <w:rFonts w:ascii="宋体" w:hAnsi="宋体" w:cs="宋体" w:eastAsia="宋体"/>
                <w:sz w:val="21"/>
              </w:rPr>
              <w:t xml:space="preserve">等接口外接显示器扩展功能、基于存储接口对产品进行增容功能等。产品 </w:t>
            </w:r>
            <w:r>
              <w:rPr>
                <w:rFonts w:ascii="calibri" w:hAnsi="calibri" w:cs="calibri" w:eastAsia="calibri"/>
                <w:sz w:val="21"/>
              </w:rPr>
              <w:t>I/O</w:t>
            </w:r>
            <w:r>
              <w:rPr>
                <w:rFonts w:ascii="宋体" w:hAnsi="宋体" w:cs="宋体" w:eastAsia="宋体"/>
                <w:sz w:val="21"/>
              </w:rPr>
              <w:t xml:space="preserve">接口，应具备外接标准 </w:t>
            </w:r>
            <w:r>
              <w:rPr>
                <w:rFonts w:ascii="calibri" w:hAnsi="calibri" w:cs="calibri" w:eastAsia="calibri"/>
                <w:sz w:val="21"/>
              </w:rPr>
              <w:t>USB</w:t>
            </w:r>
            <w:r>
              <w:rPr>
                <w:rFonts w:ascii="宋体" w:hAnsi="宋体" w:cs="宋体" w:eastAsia="宋体"/>
                <w:sz w:val="21"/>
              </w:rPr>
              <w:t>设备、显示器、音频设备等内外部设备能力</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显卡功能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显卡外接显示接口</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个视频接口</w:t>
            </w:r>
            <w:r>
              <w:rPr>
                <w:rFonts w:ascii="宋体" w:hAnsi="宋体" w:cs="宋体" w:eastAsia="宋体"/>
                <w:sz w:val="21"/>
              </w:rPr>
              <w:t>，</w:t>
            </w:r>
            <w:r>
              <w:rPr>
                <w:rFonts w:ascii="宋体" w:hAnsi="宋体" w:cs="宋体" w:eastAsia="宋体"/>
                <w:sz w:val="21"/>
              </w:rPr>
              <w:t xml:space="preserve">至少支持 </w:t>
            </w:r>
            <w:r>
              <w:rPr>
                <w:rFonts w:ascii="calibri" w:hAnsi="calibri" w:cs="calibri" w:eastAsia="calibri"/>
                <w:sz w:val="21"/>
              </w:rPr>
              <w:t>VGA</w:t>
            </w:r>
            <w:r>
              <w:rPr>
                <w:rFonts w:ascii="宋体" w:hAnsi="宋体" w:cs="宋体" w:eastAsia="宋体"/>
                <w:sz w:val="21"/>
              </w:rPr>
              <w:t>、</w:t>
            </w:r>
            <w:r>
              <w:rPr>
                <w:rFonts w:ascii="calibri" w:hAnsi="calibri" w:cs="calibri" w:eastAsia="calibri"/>
                <w:sz w:val="21"/>
              </w:rPr>
              <w:t>HDMI</w:t>
            </w:r>
            <w:r>
              <w:rPr>
                <w:rFonts w:ascii="宋体" w:hAnsi="宋体" w:cs="宋体" w:eastAsia="宋体"/>
                <w:sz w:val="21"/>
              </w:rPr>
              <w:t>、</w:t>
            </w:r>
            <w:r>
              <w:rPr>
                <w:rFonts w:ascii="calibri" w:hAnsi="calibri" w:cs="calibri" w:eastAsia="calibri"/>
                <w:sz w:val="21"/>
              </w:rPr>
              <w:t>DVI</w:t>
            </w:r>
            <w:r>
              <w:rPr>
                <w:rFonts w:ascii="宋体" w:hAnsi="宋体" w:cs="宋体" w:eastAsia="宋体"/>
                <w:sz w:val="21"/>
              </w:rPr>
              <w:t>、</w:t>
            </w:r>
            <w:r>
              <w:rPr>
                <w:rFonts w:ascii="calibri" w:hAnsi="calibri" w:cs="calibri" w:eastAsia="calibri"/>
                <w:sz w:val="21"/>
              </w:rPr>
              <w:t>DP</w:t>
            </w:r>
            <w:r>
              <w:rPr>
                <w:rFonts w:ascii="宋体" w:hAnsi="宋体" w:cs="宋体" w:eastAsia="宋体"/>
                <w:sz w:val="21"/>
              </w:rPr>
              <w:t xml:space="preserve">、 </w:t>
            </w:r>
            <w:r>
              <w:rPr>
                <w:rFonts w:ascii="calibri" w:hAnsi="calibri" w:cs="calibri" w:eastAsia="calibri"/>
                <w:sz w:val="21"/>
              </w:rPr>
              <w:t xml:space="preserve">Type-C </w:t>
            </w:r>
            <w:r>
              <w:rPr>
                <w:rFonts w:ascii="宋体" w:hAnsi="宋体" w:cs="宋体" w:eastAsia="宋体"/>
                <w:sz w:val="21"/>
              </w:rPr>
              <w:t xml:space="preserve">中 </w:t>
            </w:r>
            <w:r>
              <w:rPr>
                <w:rFonts w:ascii="calibri" w:hAnsi="calibri" w:cs="calibri" w:eastAsia="calibri"/>
                <w:sz w:val="21"/>
              </w:rPr>
              <w:t>2</w:t>
            </w:r>
            <w:r>
              <w:rPr>
                <w:rFonts w:ascii="宋体" w:hAnsi="宋体" w:cs="宋体" w:eastAsia="宋体"/>
                <w:sz w:val="21"/>
              </w:rPr>
              <w:t>种显示接口，并与显示器接口相匹配；</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86</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显示设备功能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显示器接口</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显示器应与显卡外接显示接口匹配</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显示器支架</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显示器应提供显示器支架</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显示器参数调节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a)</w:t>
            </w:r>
            <w:r>
              <w:rPr>
                <w:rFonts w:ascii="宋体" w:hAnsi="宋体" w:cs="宋体" w:eastAsia="宋体"/>
                <w:sz w:val="21"/>
              </w:rPr>
              <w:t xml:space="preserve">提供 </w:t>
            </w:r>
            <w:r>
              <w:rPr>
                <w:rFonts w:ascii="calibri" w:hAnsi="calibri" w:cs="calibri" w:eastAsia="calibri"/>
                <w:sz w:val="21"/>
              </w:rPr>
              <w:t>OSD</w:t>
            </w:r>
            <w:r>
              <w:rPr>
                <w:rFonts w:ascii="宋体" w:hAnsi="宋体" w:cs="宋体" w:eastAsia="宋体"/>
                <w:sz w:val="21"/>
              </w:rPr>
              <w:t>选单按钮用于调节色彩、模式等；</w:t>
            </w:r>
            <w:r>
              <w:rPr>
                <w:rFonts w:ascii="calibri" w:hAnsi="calibri" w:cs="calibri" w:eastAsia="calibri"/>
                <w:sz w:val="21"/>
              </w:rPr>
              <w:t>b)</w:t>
            </w:r>
            <w:r>
              <w:rPr>
                <w:rFonts w:ascii="宋体" w:hAnsi="宋体" w:cs="宋体" w:eastAsia="宋体"/>
                <w:sz w:val="21"/>
              </w:rPr>
              <w:t>支持色温、亮度、对比度调节</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89</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存储功能</w:t>
            </w:r>
          </w:p>
          <w:p>
            <w:pPr>
              <w:pStyle w:val="null3"/>
              <w:jc w:val="center"/>
            </w:pPr>
            <w:r>
              <w:rPr>
                <w:rFonts w:ascii="宋体" w:hAnsi="宋体" w:cs="宋体" w:eastAsia="宋体"/>
                <w:sz w:val="21"/>
              </w:rPr>
              <w:t>网络设备功能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存储功能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通过 </w:t>
            </w:r>
            <w:r>
              <w:rPr>
                <w:rFonts w:ascii="calibri" w:hAnsi="calibri" w:cs="calibri" w:eastAsia="calibri"/>
                <w:sz w:val="21"/>
              </w:rPr>
              <w:t>SATA</w:t>
            </w:r>
            <w:r>
              <w:rPr>
                <w:rFonts w:ascii="宋体" w:hAnsi="宋体" w:cs="宋体" w:eastAsia="宋体"/>
                <w:sz w:val="21"/>
              </w:rPr>
              <w:t xml:space="preserve">固态存储 </w:t>
            </w:r>
            <w:r>
              <w:rPr>
                <w:rFonts w:ascii="calibri" w:hAnsi="calibri" w:cs="calibri" w:eastAsia="calibri"/>
                <w:sz w:val="21"/>
              </w:rPr>
              <w:t>/PCIe</w:t>
            </w:r>
            <w:r>
              <w:rPr>
                <w:rFonts w:ascii="宋体" w:hAnsi="宋体" w:cs="宋体" w:eastAsia="宋体"/>
                <w:sz w:val="21"/>
              </w:rPr>
              <w:t>固态存储</w:t>
            </w:r>
            <w:r>
              <w:rPr>
                <w:rFonts w:ascii="calibri" w:hAnsi="calibri" w:cs="calibri" w:eastAsia="calibri"/>
                <w:sz w:val="21"/>
              </w:rPr>
              <w:t>/UFS</w:t>
            </w:r>
            <w:r>
              <w:rPr>
                <w:rFonts w:ascii="宋体" w:hAnsi="宋体" w:cs="宋体" w:eastAsia="宋体"/>
                <w:sz w:val="21"/>
              </w:rPr>
              <w:t xml:space="preserve">固态存储 </w:t>
            </w:r>
            <w:r>
              <w:rPr>
                <w:rFonts w:ascii="calibri" w:hAnsi="calibri" w:cs="calibri" w:eastAsia="calibri"/>
                <w:sz w:val="21"/>
              </w:rPr>
              <w:t>/SATA</w:t>
            </w:r>
            <w:r>
              <w:rPr>
                <w:rFonts w:ascii="宋体" w:hAnsi="宋体" w:cs="宋体" w:eastAsia="宋体"/>
                <w:sz w:val="21"/>
              </w:rPr>
              <w:t>硬磁盘等存储部件提供存储功能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网络功能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a)</w:t>
            </w:r>
            <w:r>
              <w:rPr>
                <w:rFonts w:ascii="宋体" w:hAnsi="宋体" w:cs="宋体" w:eastAsia="宋体"/>
                <w:sz w:val="21"/>
              </w:rPr>
              <w:t xml:space="preserve">支持网络连接、网络开启 </w:t>
            </w:r>
            <w:r>
              <w:rPr>
                <w:rFonts w:ascii="calibri" w:hAnsi="calibri" w:cs="calibri" w:eastAsia="calibri"/>
                <w:sz w:val="21"/>
              </w:rPr>
              <w:t>/</w:t>
            </w:r>
            <w:r>
              <w:rPr>
                <w:rFonts w:ascii="宋体" w:hAnsi="宋体" w:cs="宋体" w:eastAsia="宋体"/>
                <w:sz w:val="21"/>
              </w:rPr>
              <w:t xml:space="preserve">关闭功能； </w:t>
            </w:r>
            <w:r>
              <w:rPr>
                <w:rFonts w:ascii="calibri" w:hAnsi="calibri" w:cs="calibri" w:eastAsia="calibri"/>
                <w:sz w:val="21"/>
              </w:rPr>
              <w:t>b)</w:t>
            </w:r>
            <w:r>
              <w:rPr>
                <w:rFonts w:ascii="宋体" w:hAnsi="宋体" w:cs="宋体" w:eastAsia="宋体"/>
                <w:sz w:val="21"/>
              </w:rPr>
              <w:t>支持访问网络和数据交换功能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数据传输</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支持数据传输能力，并提供数据流量和异常日志记录功能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有线网卡接口类型</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支持 </w:t>
            </w:r>
            <w:r>
              <w:rPr>
                <w:rFonts w:ascii="calibri" w:hAnsi="calibri" w:cs="calibri" w:eastAsia="calibri"/>
                <w:sz w:val="21"/>
              </w:rPr>
              <w:t>RJ45</w:t>
            </w:r>
            <w:r>
              <w:rPr>
                <w:rFonts w:ascii="宋体" w:hAnsi="宋体" w:cs="宋体" w:eastAsia="宋体"/>
                <w:sz w:val="21"/>
              </w:rPr>
              <w:t>接口</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网络设备拆装</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网络设备支持物理拆装，包括无线网卡和蓝牙模块等</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94</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外部接口功能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音频接口类型</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支持 </w:t>
            </w:r>
            <w:r>
              <w:rPr>
                <w:rFonts w:ascii="calibri" w:hAnsi="calibri" w:cs="calibri" w:eastAsia="calibri"/>
                <w:sz w:val="21"/>
              </w:rPr>
              <w:t>3.5mm</w:t>
            </w:r>
            <w:r>
              <w:rPr>
                <w:rFonts w:ascii="宋体" w:hAnsi="宋体" w:cs="宋体" w:eastAsia="宋体"/>
                <w:sz w:val="21"/>
              </w:rPr>
              <w:t xml:space="preserve">孔径 </w:t>
            </w:r>
            <w:r>
              <w:rPr>
                <w:rFonts w:ascii="calibri" w:hAnsi="calibri" w:cs="calibri" w:eastAsia="calibri"/>
                <w:sz w:val="21"/>
              </w:rPr>
              <w:t>3</w:t>
            </w:r>
            <w:r>
              <w:rPr>
                <w:rFonts w:ascii="宋体" w:hAnsi="宋体" w:cs="宋体" w:eastAsia="宋体"/>
                <w:sz w:val="21"/>
              </w:rPr>
              <w:t xml:space="preserve">段式或 </w:t>
            </w:r>
            <w:r>
              <w:rPr>
                <w:rFonts w:ascii="calibri" w:hAnsi="calibri" w:cs="calibri" w:eastAsia="calibri"/>
                <w:sz w:val="21"/>
              </w:rPr>
              <w:t>4</w:t>
            </w:r>
            <w:r>
              <w:rPr>
                <w:rFonts w:ascii="宋体" w:hAnsi="宋体" w:cs="宋体" w:eastAsia="宋体"/>
                <w:sz w:val="21"/>
              </w:rPr>
              <w:t>段式接口</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视频接口类型</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至少支持 </w:t>
            </w:r>
            <w:r>
              <w:rPr>
                <w:rFonts w:ascii="calibri" w:hAnsi="calibri" w:cs="calibri" w:eastAsia="calibri"/>
                <w:sz w:val="21"/>
              </w:rPr>
              <w:t>VGA</w:t>
            </w:r>
            <w:r>
              <w:rPr>
                <w:rFonts w:ascii="宋体" w:hAnsi="宋体" w:cs="宋体" w:eastAsia="宋体"/>
                <w:sz w:val="21"/>
              </w:rPr>
              <w:t xml:space="preserve">、 </w:t>
            </w:r>
            <w:r>
              <w:rPr>
                <w:rFonts w:ascii="calibri" w:hAnsi="calibri" w:cs="calibri" w:eastAsia="calibri"/>
                <w:sz w:val="21"/>
              </w:rPr>
              <w:t>HDMI</w:t>
            </w:r>
            <w:r>
              <w:rPr>
                <w:rFonts w:ascii="宋体" w:hAnsi="宋体" w:cs="宋体" w:eastAsia="宋体"/>
                <w:sz w:val="21"/>
              </w:rPr>
              <w:t xml:space="preserve">、 </w:t>
            </w:r>
            <w:r>
              <w:rPr>
                <w:rFonts w:ascii="calibri" w:hAnsi="calibri" w:cs="calibri" w:eastAsia="calibri"/>
                <w:sz w:val="21"/>
              </w:rPr>
              <w:t>DVI</w:t>
            </w:r>
            <w:r>
              <w:rPr>
                <w:rFonts w:ascii="宋体" w:hAnsi="宋体" w:cs="宋体" w:eastAsia="宋体"/>
                <w:sz w:val="21"/>
              </w:rPr>
              <w:t xml:space="preserve">、 </w:t>
            </w:r>
            <w:r>
              <w:rPr>
                <w:rFonts w:ascii="calibri" w:hAnsi="calibri" w:cs="calibri" w:eastAsia="calibri"/>
                <w:sz w:val="21"/>
              </w:rPr>
              <w:t>DP</w:t>
            </w:r>
            <w:r>
              <w:rPr>
                <w:rFonts w:ascii="宋体" w:hAnsi="宋体" w:cs="宋体" w:eastAsia="宋体"/>
                <w:sz w:val="21"/>
              </w:rPr>
              <w:t xml:space="preserve">、 </w:t>
            </w:r>
            <w:r>
              <w:rPr>
                <w:rFonts w:ascii="calibri" w:hAnsi="calibri" w:cs="calibri" w:eastAsia="calibri"/>
                <w:sz w:val="21"/>
              </w:rPr>
              <w:t>Type-C</w:t>
            </w:r>
            <w:r>
              <w:rPr>
                <w:rFonts w:ascii="宋体" w:hAnsi="宋体" w:cs="宋体" w:eastAsia="宋体"/>
                <w:sz w:val="21"/>
              </w:rPr>
              <w:t>中</w:t>
            </w:r>
            <w:r>
              <w:rPr>
                <w:rFonts w:ascii="calibri" w:hAnsi="calibri" w:cs="calibri" w:eastAsia="calibri"/>
                <w:sz w:val="21"/>
              </w:rPr>
              <w:t>2</w:t>
            </w:r>
            <w:r>
              <w:rPr>
                <w:rFonts w:ascii="宋体" w:hAnsi="宋体" w:cs="宋体" w:eastAsia="宋体"/>
                <w:sz w:val="21"/>
              </w:rPr>
              <w:t>种显示接口</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HDMI</w:t>
            </w:r>
            <w:r>
              <w:rPr>
                <w:rFonts w:ascii="宋体" w:hAnsi="宋体" w:cs="宋体" w:eastAsia="宋体"/>
                <w:sz w:val="21"/>
              </w:rPr>
              <w:t>、</w:t>
            </w:r>
            <w:r>
              <w:rPr>
                <w:rFonts w:ascii="calibri" w:hAnsi="calibri" w:cs="calibri" w:eastAsia="calibri"/>
                <w:sz w:val="21"/>
              </w:rPr>
              <w:t>DP</w:t>
            </w:r>
            <w:r>
              <w:rPr>
                <w:rFonts w:ascii="宋体" w:hAnsi="宋体" w:cs="宋体" w:eastAsia="宋体"/>
                <w:sz w:val="21"/>
              </w:rPr>
              <w:t>、</w:t>
            </w:r>
            <w:r>
              <w:rPr>
                <w:rFonts w:ascii="calibri" w:hAnsi="calibri" w:cs="calibri" w:eastAsia="calibri"/>
                <w:sz w:val="21"/>
              </w:rPr>
              <w:t>Type-C</w:t>
            </w:r>
            <w:r>
              <w:rPr>
                <w:rFonts w:ascii="宋体" w:hAnsi="宋体" w:cs="宋体" w:eastAsia="宋体"/>
                <w:sz w:val="21"/>
              </w:rPr>
              <w:t>显示接口要求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若提供 </w:t>
            </w:r>
            <w:r>
              <w:rPr>
                <w:rFonts w:ascii="calibri" w:hAnsi="calibri" w:cs="calibri" w:eastAsia="calibri"/>
                <w:sz w:val="21"/>
              </w:rPr>
              <w:t>HDMI</w:t>
            </w:r>
            <w:r>
              <w:rPr>
                <w:rFonts w:ascii="宋体" w:hAnsi="宋体" w:cs="宋体" w:eastAsia="宋体"/>
                <w:sz w:val="21"/>
              </w:rPr>
              <w:t xml:space="preserve">或 </w:t>
            </w:r>
            <w:r>
              <w:rPr>
                <w:rFonts w:ascii="calibri" w:hAnsi="calibri" w:cs="calibri" w:eastAsia="calibri"/>
                <w:sz w:val="21"/>
              </w:rPr>
              <w:t>DP</w:t>
            </w:r>
            <w:r>
              <w:rPr>
                <w:rFonts w:ascii="宋体" w:hAnsi="宋体" w:cs="宋体" w:eastAsia="宋体"/>
                <w:sz w:val="21"/>
              </w:rPr>
              <w:t xml:space="preserve">或 </w:t>
            </w:r>
            <w:r>
              <w:rPr>
                <w:rFonts w:ascii="calibri" w:hAnsi="calibri" w:cs="calibri" w:eastAsia="calibri"/>
                <w:sz w:val="21"/>
              </w:rPr>
              <w:t>Type-C</w:t>
            </w:r>
            <w:r>
              <w:rPr>
                <w:rFonts w:ascii="宋体" w:hAnsi="宋体" w:cs="宋体" w:eastAsia="宋体"/>
                <w:sz w:val="21"/>
              </w:rPr>
              <w:t>作为显示接口，应支持音频和视频同步输出</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97</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电源功能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电源线适配能力</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电源适配器电线组件应符合 </w:t>
            </w:r>
            <w:r>
              <w:rPr>
                <w:rFonts w:ascii="calibri" w:hAnsi="calibri" w:cs="calibri" w:eastAsia="calibri"/>
                <w:sz w:val="21"/>
              </w:rPr>
              <w:t>GB/T15934</w:t>
            </w:r>
            <w:r>
              <w:rPr>
                <w:rFonts w:ascii="宋体" w:hAnsi="宋体" w:cs="宋体" w:eastAsia="宋体"/>
                <w:sz w:val="21"/>
              </w:rPr>
              <w:t>的要求，可拆线的插头和连接器可以不做要求</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电源功率</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500W</w:t>
            </w:r>
            <w:r>
              <w:rPr>
                <w:rFonts w:ascii="宋体" w:hAnsi="宋体" w:cs="宋体" w:eastAsia="宋体"/>
                <w:sz w:val="21"/>
              </w:rPr>
              <w:t>电源</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99</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操作系统及软件功能</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中文信息处理要求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 18030</w:t>
            </w:r>
            <w:r>
              <w:rPr>
                <w:rFonts w:ascii="宋体" w:hAnsi="宋体" w:cs="宋体" w:eastAsia="宋体"/>
                <w:sz w:val="21"/>
              </w:rPr>
              <w:t>的相关规定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操作系统备份及还原功能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支持操作系统备份及还原功能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固件备份还原能力</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支持备份及还原固件的功能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操作系统及驱动升级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支持通过网络、闪存盘等方式对操作系统、驱动进行升级</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固件升级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支持通过网络、闪存盘等方式对固件进行升级</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BIOS</w:t>
            </w:r>
            <w:r>
              <w:rPr>
                <w:rFonts w:ascii="宋体" w:hAnsi="宋体" w:cs="宋体" w:eastAsia="宋体"/>
                <w:sz w:val="21"/>
              </w:rPr>
              <w:t>支持关闭通讯接口</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支持 </w:t>
            </w:r>
            <w:r>
              <w:rPr>
                <w:rFonts w:ascii="calibri" w:hAnsi="calibri" w:cs="calibri" w:eastAsia="calibri"/>
                <w:sz w:val="21"/>
              </w:rPr>
              <w:t>BIOS</w:t>
            </w:r>
            <w:r>
              <w:rPr>
                <w:rFonts w:ascii="宋体" w:hAnsi="宋体" w:cs="宋体" w:eastAsia="宋体"/>
                <w:sz w:val="21"/>
              </w:rPr>
              <w:t xml:space="preserve">关闭以太网及 </w:t>
            </w:r>
            <w:r>
              <w:rPr>
                <w:rFonts w:ascii="calibri" w:hAnsi="calibri" w:cs="calibri" w:eastAsia="calibri"/>
                <w:sz w:val="21"/>
              </w:rPr>
              <w:t>USB</w:t>
            </w:r>
            <w:r>
              <w:rPr>
                <w:rFonts w:ascii="宋体" w:hAnsi="宋体" w:cs="宋体" w:eastAsia="宋体"/>
                <w:sz w:val="21"/>
              </w:rPr>
              <w:t>接口</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固件查看信息</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支持查看固件版本、内存信息、主板信息、处理器信息和系统时间信息等功能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固件设置启动顺序</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支持设置启动顺序功能，并按照设置的启动顺序启动</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固件设置口令</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支持设置口令、修改口令、验证口令功能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固件设置网络引导</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支持网络引导启动和关闭功能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109</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存储设备可靠性</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固态存储寿命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 xml:space="preserve">TBW </w:t>
            </w:r>
            <w:r>
              <w:rPr>
                <w:rFonts w:ascii="宋体" w:hAnsi="宋体" w:cs="宋体" w:eastAsia="宋体"/>
                <w:sz w:val="21"/>
              </w:rPr>
              <w:t xml:space="preserve">≥ </w:t>
            </w:r>
            <w:r>
              <w:rPr>
                <w:rFonts w:ascii="calibri" w:hAnsi="calibri" w:cs="calibri" w:eastAsia="calibri"/>
                <w:sz w:val="21"/>
              </w:rPr>
              <w:t>80TB</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机械硬盘寿命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通电时间 ≥</w:t>
            </w:r>
            <w:r>
              <w:rPr>
                <w:rFonts w:ascii="calibri" w:hAnsi="calibri" w:cs="calibri" w:eastAsia="calibri"/>
                <w:sz w:val="21"/>
              </w:rPr>
              <w:t>5</w:t>
            </w:r>
            <w:r>
              <w:rPr>
                <w:rFonts w:ascii="宋体" w:hAnsi="宋体" w:cs="宋体" w:eastAsia="宋体"/>
                <w:sz w:val="21"/>
              </w:rPr>
              <w:t>万小时</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显示设备可靠性</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显示屏屏幕失效点</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9813.2</w:t>
            </w:r>
            <w:r>
              <w:rPr>
                <w:rFonts w:ascii="宋体" w:hAnsi="宋体" w:cs="宋体" w:eastAsia="宋体"/>
                <w:sz w:val="21"/>
              </w:rPr>
              <w:t>的要求</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112</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外设可靠性</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键盘按键寿命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1000</w:t>
            </w:r>
            <w:r>
              <w:rPr>
                <w:rFonts w:ascii="宋体" w:hAnsi="宋体" w:cs="宋体" w:eastAsia="宋体"/>
                <w:sz w:val="21"/>
              </w:rPr>
              <w:t>万次</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鼠标按键寿命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500</w:t>
            </w:r>
            <w:r>
              <w:rPr>
                <w:rFonts w:ascii="宋体" w:hAnsi="宋体" w:cs="宋体" w:eastAsia="宋体"/>
                <w:sz w:val="21"/>
              </w:rPr>
              <w:t>万次</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键盘鼠标线材寿命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键盘鼠标所用线材经 ±</w:t>
            </w:r>
            <w:r>
              <w:rPr>
                <w:rFonts w:ascii="calibri" w:hAnsi="calibri" w:cs="calibri" w:eastAsia="calibri"/>
                <w:sz w:val="21"/>
              </w:rPr>
              <w:t>60</w:t>
            </w:r>
            <w:r>
              <w:rPr>
                <w:rFonts w:ascii="宋体" w:hAnsi="宋体" w:cs="宋体" w:eastAsia="宋体"/>
                <w:sz w:val="21"/>
              </w:rPr>
              <w:t xml:space="preserve">°弯折不低于 </w:t>
            </w:r>
            <w:r>
              <w:rPr>
                <w:rFonts w:ascii="calibri" w:hAnsi="calibri" w:cs="calibri" w:eastAsia="calibri"/>
                <w:sz w:val="21"/>
              </w:rPr>
              <w:t>3000</w:t>
            </w:r>
            <w:r>
              <w:rPr>
                <w:rFonts w:ascii="宋体" w:hAnsi="宋体" w:cs="宋体" w:eastAsia="宋体"/>
                <w:sz w:val="21"/>
              </w:rPr>
              <w:t>次，功能、外观完好</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风扇寿命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万小时</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键盘防水</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防水键盘</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端口防雷</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每台机器提供</w:t>
            </w:r>
            <w:r>
              <w:rPr>
                <w:rFonts w:ascii="宋体" w:hAnsi="宋体" w:cs="宋体" w:eastAsia="宋体"/>
                <w:sz w:val="21"/>
              </w:rPr>
              <w:t>同品牌网络防雷模块，</w:t>
            </w:r>
            <w:r>
              <w:rPr>
                <w:rFonts w:ascii="宋体" w:hAnsi="宋体" w:cs="宋体" w:eastAsia="宋体"/>
                <w:sz w:val="21"/>
              </w:rPr>
              <w:t>及外接式同品牌</w:t>
            </w:r>
            <w:r>
              <w:rPr>
                <w:rFonts w:ascii="calibri" w:hAnsi="calibri" w:cs="calibri" w:eastAsia="calibri"/>
                <w:sz w:val="21"/>
              </w:rPr>
              <w:t>RJ45</w:t>
            </w:r>
            <w:r>
              <w:rPr>
                <w:rFonts w:ascii="宋体" w:hAnsi="宋体" w:cs="宋体" w:eastAsia="宋体"/>
                <w:sz w:val="21"/>
              </w:rPr>
              <w:t>网络防雷功能</w:t>
            </w:r>
            <w:r>
              <w:rPr>
                <w:rFonts w:ascii="宋体" w:hAnsi="宋体" w:cs="宋体" w:eastAsia="宋体"/>
                <w:sz w:val="21"/>
              </w:rPr>
              <w:t>，</w:t>
            </w:r>
            <w:r>
              <w:rPr>
                <w:rFonts w:ascii="宋体" w:hAnsi="宋体" w:cs="宋体" w:eastAsia="宋体"/>
                <w:sz w:val="21"/>
              </w:rPr>
              <w:t>并提供相关证明材料</w:t>
            </w:r>
            <w:r>
              <w:rPr>
                <w:rFonts w:ascii="宋体" w:hAnsi="宋体" w:cs="宋体" w:eastAsia="宋体"/>
                <w:sz w:val="21"/>
              </w:rPr>
              <w:t>；</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118</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整机可靠性要求</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电磁兼容性要求的抗扰度</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9254.2</w:t>
            </w:r>
            <w:r>
              <w:rPr>
                <w:rFonts w:ascii="宋体" w:hAnsi="宋体" w:cs="宋体" w:eastAsia="宋体"/>
                <w:sz w:val="21"/>
              </w:rPr>
              <w:t>的规定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环境条件要求的气候环境适应性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9813.1</w:t>
            </w:r>
            <w:r>
              <w:rPr>
                <w:rFonts w:ascii="宋体" w:hAnsi="宋体" w:cs="宋体" w:eastAsia="宋体"/>
                <w:sz w:val="21"/>
              </w:rPr>
              <w:t>中规定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环境条件要求的振动适应性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9813.1</w:t>
            </w:r>
            <w:r>
              <w:rPr>
                <w:rFonts w:ascii="宋体" w:hAnsi="宋体" w:cs="宋体" w:eastAsia="宋体"/>
                <w:sz w:val="21"/>
              </w:rPr>
              <w:t>中规定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环境条件要求的冲击适应性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9813.1</w:t>
            </w:r>
            <w:r>
              <w:rPr>
                <w:rFonts w:ascii="宋体" w:hAnsi="宋体" w:cs="宋体" w:eastAsia="宋体"/>
                <w:sz w:val="21"/>
              </w:rPr>
              <w:t>中规定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环境条件要求的碰撞适应性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9813.1</w:t>
            </w:r>
            <w:r>
              <w:rPr>
                <w:rFonts w:ascii="宋体" w:hAnsi="宋体" w:cs="宋体" w:eastAsia="宋体"/>
                <w:sz w:val="21"/>
              </w:rPr>
              <w:t>中规定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环境条件要求的运输包装件跌落适应性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9813.1</w:t>
            </w:r>
            <w:r>
              <w:rPr>
                <w:rFonts w:ascii="宋体" w:hAnsi="宋体" w:cs="宋体" w:eastAsia="宋体"/>
                <w:sz w:val="21"/>
              </w:rPr>
              <w:t>中规定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MTBF</w:t>
            </w:r>
            <w:r>
              <w:rPr>
                <w:rFonts w:ascii="宋体" w:hAnsi="宋体" w:cs="宋体" w:eastAsia="宋体"/>
                <w:sz w:val="21"/>
              </w:rPr>
              <w:t>测试</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MTBF(m1)</w:t>
            </w:r>
            <w:r>
              <w:rPr>
                <w:rFonts w:ascii="宋体" w:hAnsi="宋体" w:cs="宋体" w:eastAsia="宋体"/>
                <w:sz w:val="21"/>
              </w:rPr>
              <w:t>≥</w:t>
            </w:r>
            <w:r>
              <w:rPr>
                <w:rFonts w:ascii="calibri" w:hAnsi="calibri" w:cs="calibri" w:eastAsia="calibri"/>
                <w:sz w:val="21"/>
              </w:rPr>
              <w:t>3</w:t>
            </w:r>
            <w:r>
              <w:rPr>
                <w:rFonts w:ascii="宋体" w:hAnsi="宋体" w:cs="宋体" w:eastAsia="宋体"/>
                <w:sz w:val="21"/>
              </w:rPr>
              <w:t>万小时</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r>
              <w:rPr>
                <w:rFonts w:ascii="calibri" w:hAnsi="calibri" w:cs="calibri" w:eastAsia="calibri"/>
                <w:sz w:val="21"/>
              </w:rPr>
              <w:t>5</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兼容要求</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常用软件兼容</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支持流式软件、版式软件、浏览器、邮件采购人端、解压软件、多媒体、图形图像处理等常用软件</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r>
              <w:rPr>
                <w:rFonts w:ascii="calibri" w:hAnsi="calibri" w:cs="calibri" w:eastAsia="calibri"/>
                <w:sz w:val="21"/>
              </w:rPr>
              <w:t>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数据库兼容</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兼容 </w:t>
            </w:r>
            <w:r>
              <w:rPr>
                <w:rFonts w:ascii="calibri" w:hAnsi="calibri" w:cs="calibri" w:eastAsia="calibri"/>
                <w:sz w:val="21"/>
              </w:rPr>
              <w:t>3</w:t>
            </w:r>
            <w:r>
              <w:rPr>
                <w:rFonts w:ascii="宋体" w:hAnsi="宋体" w:cs="宋体" w:eastAsia="宋体"/>
                <w:sz w:val="21"/>
              </w:rPr>
              <w:t>个及以上厂商的数据库产品</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r>
              <w:rPr>
                <w:rFonts w:ascii="calibri" w:hAnsi="calibri" w:cs="calibri" w:eastAsia="calibri"/>
                <w:sz w:val="21"/>
              </w:rPr>
              <w:t>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中间件兼容</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兼容 </w:t>
            </w:r>
            <w:r>
              <w:rPr>
                <w:rFonts w:ascii="calibri" w:hAnsi="calibri" w:cs="calibri" w:eastAsia="calibri"/>
                <w:sz w:val="21"/>
              </w:rPr>
              <w:t>3</w:t>
            </w:r>
            <w:r>
              <w:rPr>
                <w:rFonts w:ascii="宋体" w:hAnsi="宋体" w:cs="宋体" w:eastAsia="宋体"/>
                <w:sz w:val="21"/>
              </w:rPr>
              <w:t>个及以上厂商中间件产品</w:t>
            </w:r>
          </w:p>
          <w:p>
            <w:pPr>
              <w:pStyle w:val="null3"/>
              <w:jc w:val="left"/>
            </w:pP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r>
              <w:rPr>
                <w:rFonts w:ascii="calibri" w:hAnsi="calibri" w:cs="calibri" w:eastAsia="calibri"/>
                <w:sz w:val="21"/>
              </w:rPr>
              <w:t>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平台软件兼容</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兼容 </w:t>
            </w:r>
            <w:r>
              <w:rPr>
                <w:rFonts w:ascii="calibri" w:hAnsi="calibri" w:cs="calibri" w:eastAsia="calibri"/>
                <w:sz w:val="21"/>
              </w:rPr>
              <w:t>3</w:t>
            </w:r>
            <w:r>
              <w:rPr>
                <w:rFonts w:ascii="宋体" w:hAnsi="宋体" w:cs="宋体" w:eastAsia="宋体"/>
                <w:sz w:val="21"/>
              </w:rPr>
              <w:t>个及以上厂商云计算及大数据平台</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r>
              <w:rPr>
                <w:rFonts w:ascii="calibri" w:hAnsi="calibri" w:cs="calibri" w:eastAsia="calibri"/>
                <w:sz w:val="21"/>
              </w:rPr>
              <w:t>29</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包装及运输要求</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标志、包装、运输和贮存</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9813.1</w:t>
            </w:r>
            <w:r>
              <w:rPr>
                <w:rFonts w:ascii="宋体" w:hAnsi="宋体" w:cs="宋体" w:eastAsia="宋体"/>
                <w:sz w:val="21"/>
              </w:rPr>
              <w:t>和商品包装政府采购需求标准的相关规定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0</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服务要求</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配置检查工具</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供应商提供自检测试工具方便</w:t>
            </w:r>
            <w:r>
              <w:rPr>
                <w:rFonts w:ascii="宋体" w:hAnsi="宋体" w:cs="宋体" w:eastAsia="宋体"/>
                <w:sz w:val="21"/>
              </w:rPr>
              <w:t>采购人</w:t>
            </w:r>
            <w:r>
              <w:rPr>
                <w:rFonts w:ascii="宋体" w:hAnsi="宋体" w:cs="宋体" w:eastAsia="宋体"/>
                <w:sz w:val="21"/>
              </w:rPr>
              <w:t>进行设备检测</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服务响应</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a)</w:t>
            </w:r>
            <w:r>
              <w:rPr>
                <w:rFonts w:ascii="宋体" w:hAnsi="宋体" w:cs="宋体" w:eastAsia="宋体"/>
                <w:sz w:val="21"/>
              </w:rPr>
              <w:t>供应商提供电话、电子邮件、远程连接等多种形式服务；</w:t>
            </w:r>
            <w:r>
              <w:rPr>
                <w:rFonts w:ascii="calibri" w:hAnsi="calibri" w:cs="calibri" w:eastAsia="calibri"/>
                <w:sz w:val="21"/>
              </w:rPr>
              <w:t>b)</w:t>
            </w:r>
            <w:r>
              <w:rPr>
                <w:rFonts w:ascii="宋体" w:hAnsi="宋体" w:cs="宋体" w:eastAsia="宋体"/>
                <w:sz w:val="21"/>
              </w:rPr>
              <w:t xml:space="preserve">供应商提供同城 </w:t>
            </w:r>
            <w:r>
              <w:rPr>
                <w:rFonts w:ascii="calibri" w:hAnsi="calibri" w:cs="calibri" w:eastAsia="calibri"/>
                <w:sz w:val="21"/>
              </w:rPr>
              <w:t>4h</w:t>
            </w:r>
            <w:r>
              <w:rPr>
                <w:rFonts w:ascii="宋体" w:hAnsi="宋体" w:cs="宋体" w:eastAsia="宋体"/>
                <w:sz w:val="21"/>
              </w:rPr>
              <w:t xml:space="preserve">、异地 </w:t>
            </w:r>
            <w:r>
              <w:rPr>
                <w:rFonts w:ascii="calibri" w:hAnsi="calibri" w:cs="calibri" w:eastAsia="calibri"/>
                <w:sz w:val="21"/>
              </w:rPr>
              <w:t>12h</w:t>
            </w:r>
            <w:r>
              <w:rPr>
                <w:rFonts w:ascii="宋体" w:hAnsi="宋体" w:cs="宋体" w:eastAsia="宋体"/>
                <w:sz w:val="21"/>
              </w:rPr>
              <w:t>技术响应服务，</w:t>
            </w:r>
            <w:r>
              <w:rPr>
                <w:rFonts w:ascii="calibri" w:hAnsi="calibri" w:cs="calibri" w:eastAsia="calibri"/>
                <w:sz w:val="21"/>
              </w:rPr>
              <w:t>2</w:t>
            </w:r>
            <w:r>
              <w:rPr>
                <w:rFonts w:ascii="宋体" w:hAnsi="宋体" w:cs="宋体" w:eastAsia="宋体"/>
                <w:sz w:val="21"/>
              </w:rPr>
              <w:t>个工作日解决问题，对于未能解决的问题和故障应提供可行的升级方案，并提供周转设备或更换设备；</w:t>
            </w:r>
            <w:r>
              <w:rPr>
                <w:rFonts w:ascii="calibri" w:hAnsi="calibri" w:cs="calibri" w:eastAsia="calibri"/>
                <w:sz w:val="21"/>
              </w:rPr>
              <w:t>c)</w:t>
            </w:r>
            <w:r>
              <w:rPr>
                <w:rFonts w:ascii="宋体" w:hAnsi="宋体" w:cs="宋体" w:eastAsia="宋体"/>
                <w:sz w:val="21"/>
              </w:rPr>
              <w:t>建立全国技术服务体系和服务团体，符合专业服务体系标准要求，提供原厂中文服务；</w:t>
            </w:r>
            <w:r>
              <w:rPr>
                <w:rFonts w:ascii="calibri" w:hAnsi="calibri" w:cs="calibri" w:eastAsia="calibri"/>
                <w:sz w:val="21"/>
              </w:rPr>
              <w:t>d)</w:t>
            </w:r>
            <w:r>
              <w:rPr>
                <w:rFonts w:ascii="宋体" w:hAnsi="宋体" w:cs="宋体" w:eastAsia="宋体"/>
                <w:sz w:val="21"/>
              </w:rPr>
              <w:t>服务周期内提供产品的维修、换件和升级服务</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2</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服务周期</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a)</w:t>
            </w:r>
            <w:r>
              <w:rPr>
                <w:rFonts w:ascii="宋体" w:hAnsi="宋体" w:cs="宋体" w:eastAsia="宋体"/>
                <w:sz w:val="21"/>
              </w:rPr>
              <w:t>设备停产后应继续提供质量保障服务（含备品备件），服务终止时间与最后一批设备交付时间间隔≥</w:t>
            </w:r>
            <w:r>
              <w:rPr>
                <w:rFonts w:ascii="calibri" w:hAnsi="calibri" w:cs="calibri" w:eastAsia="calibri"/>
                <w:sz w:val="21"/>
              </w:rPr>
              <w:t>6</w:t>
            </w:r>
            <w:r>
              <w:rPr>
                <w:rFonts w:ascii="宋体" w:hAnsi="宋体" w:cs="宋体" w:eastAsia="宋体"/>
                <w:sz w:val="21"/>
              </w:rPr>
              <w:t>年；</w:t>
            </w:r>
            <w:r>
              <w:rPr>
                <w:rFonts w:ascii="calibri" w:hAnsi="calibri" w:cs="calibri" w:eastAsia="calibri"/>
                <w:sz w:val="21"/>
              </w:rPr>
              <w:t>b)</w:t>
            </w:r>
            <w:r>
              <w:rPr>
                <w:rFonts w:ascii="宋体" w:hAnsi="宋体" w:cs="宋体" w:eastAsia="宋体"/>
                <w:sz w:val="21"/>
              </w:rPr>
              <w:t xml:space="preserve">产品停止服务时间应提前 </w:t>
            </w:r>
            <w:r>
              <w:rPr>
                <w:rFonts w:ascii="calibri" w:hAnsi="calibri" w:cs="calibri" w:eastAsia="calibri"/>
                <w:sz w:val="21"/>
              </w:rPr>
              <w:t>1</w:t>
            </w:r>
            <w:r>
              <w:rPr>
                <w:rFonts w:ascii="宋体" w:hAnsi="宋体" w:cs="宋体" w:eastAsia="宋体"/>
                <w:sz w:val="21"/>
              </w:rPr>
              <w:t>年告知；</w:t>
            </w:r>
          </w:p>
          <w:p>
            <w:pPr>
              <w:pStyle w:val="null3"/>
              <w:jc w:val="left"/>
            </w:pPr>
            <w:r>
              <w:rPr>
                <w:rFonts w:ascii="calibri" w:hAnsi="calibri" w:cs="calibri" w:eastAsia="calibri"/>
                <w:sz w:val="21"/>
              </w:rPr>
              <w:t>c)</w:t>
            </w:r>
            <w:r>
              <w:rPr>
                <w:rFonts w:ascii="宋体" w:hAnsi="宋体" w:cs="宋体" w:eastAsia="宋体"/>
                <w:sz w:val="21"/>
              </w:rPr>
              <w:t>应明确产品发布日期</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3</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预装操作系统</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预装符合桌面操作系统政府采购需求标准的正版操作系统</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培训服务</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供应商提供培训材料、产品手册、培训视频等培训相关内容</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5</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典型问题解决手册</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供应商提供典型问题解决说明文档或视频</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6</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厂家升级软件与扩容服务</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供应商提供上门升级部件 </w:t>
            </w:r>
            <w:r>
              <w:rPr>
                <w:rFonts w:ascii="calibri" w:hAnsi="calibri" w:cs="calibri" w:eastAsia="calibri"/>
                <w:sz w:val="21"/>
              </w:rPr>
              <w:t>/</w:t>
            </w:r>
            <w:r>
              <w:rPr>
                <w:rFonts w:ascii="宋体" w:hAnsi="宋体" w:cs="宋体" w:eastAsia="宋体"/>
                <w:sz w:val="21"/>
              </w:rPr>
              <w:t>软件与扩容的增值服务</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整机质量服务要求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保修服务：整机（包含键盘鼠标等所有零配件）提供</w:t>
            </w:r>
            <w:r>
              <w:rPr>
                <w:rFonts w:ascii="calibri" w:hAnsi="calibri" w:cs="calibri" w:eastAsia="calibri"/>
                <w:sz w:val="21"/>
              </w:rPr>
              <w:t>5</w:t>
            </w:r>
            <w:r>
              <w:rPr>
                <w:rFonts w:ascii="宋体" w:hAnsi="宋体" w:cs="宋体" w:eastAsia="宋体"/>
                <w:sz w:val="21"/>
              </w:rPr>
              <w:t>年免费原厂质保，保修信息厂家</w:t>
            </w:r>
            <w:r>
              <w:rPr>
                <w:rFonts w:ascii="calibri" w:hAnsi="calibri" w:cs="calibri" w:eastAsia="calibri"/>
                <w:sz w:val="21"/>
              </w:rPr>
              <w:t>400</w:t>
            </w:r>
            <w:r>
              <w:rPr>
                <w:rFonts w:ascii="宋体" w:hAnsi="宋体" w:cs="宋体" w:eastAsia="宋体"/>
                <w:sz w:val="21"/>
              </w:rPr>
              <w:t>电话或官网可查，不得拆改配。厂商客户联络中心通过</w:t>
            </w:r>
            <w:r>
              <w:rPr>
                <w:rFonts w:ascii="calibri" w:hAnsi="calibri" w:cs="calibri" w:eastAsia="calibri"/>
                <w:sz w:val="21"/>
              </w:rPr>
              <w:t>CCCS</w:t>
            </w:r>
            <w:r>
              <w:rPr>
                <w:rFonts w:ascii="宋体" w:hAnsi="宋体" w:cs="宋体" w:eastAsia="宋体"/>
                <w:sz w:val="21"/>
              </w:rPr>
              <w:t>钻石五星认证认证或《售后服务体系完善程度认证评价规范》十二星认证。</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r>
              <w:rPr>
                <w:rFonts w:ascii="calibri" w:hAnsi="calibri" w:cs="calibri" w:eastAsia="calibri"/>
                <w:sz w:val="21"/>
              </w:rPr>
              <w:t>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合格证书要求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供应商提供产品合格证</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r>
              <w:rPr>
                <w:rFonts w:ascii="calibri" w:hAnsi="calibri" w:cs="calibri" w:eastAsia="calibri"/>
                <w:sz w:val="21"/>
              </w:rPr>
              <w:t>39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 xml:space="preserve">开箱组装 </w:t>
            </w:r>
            <w:r>
              <w:rPr>
                <w:rFonts w:ascii="calibri" w:hAnsi="calibri" w:cs="calibri" w:eastAsia="calibri"/>
                <w:sz w:val="21"/>
              </w:rPr>
              <w:t>/</w:t>
            </w:r>
            <w:r>
              <w:rPr>
                <w:rFonts w:ascii="宋体" w:hAnsi="宋体" w:cs="宋体" w:eastAsia="宋体"/>
                <w:sz w:val="21"/>
              </w:rPr>
              <w:t>使用指导要求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供应商提供开箱组装 </w:t>
            </w:r>
            <w:r>
              <w:rPr>
                <w:rFonts w:ascii="calibri" w:hAnsi="calibri" w:cs="calibri" w:eastAsia="calibri"/>
                <w:sz w:val="21"/>
              </w:rPr>
              <w:t>/</w:t>
            </w:r>
            <w:r>
              <w:rPr>
                <w:rFonts w:ascii="宋体" w:hAnsi="宋体" w:cs="宋体" w:eastAsia="宋体"/>
                <w:sz w:val="21"/>
              </w:rPr>
              <w:t>使用指导</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0</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驱动下载服务要求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供应商提供驱动光盘或下载方式</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1</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兼容适配软件下载服务要求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供应商提供兼容适配软件下载渠道（光盘、网站）</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供应链合规性</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产品部件保障</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供应商保障产品主要部件，提供 </w:t>
            </w:r>
            <w:r>
              <w:rPr>
                <w:rFonts w:ascii="calibri" w:hAnsi="calibri" w:cs="calibri" w:eastAsia="calibri"/>
                <w:sz w:val="21"/>
              </w:rPr>
              <w:t>6</w:t>
            </w:r>
            <w:r>
              <w:rPr>
                <w:rFonts w:ascii="宋体" w:hAnsi="宋体" w:cs="宋体" w:eastAsia="宋体"/>
                <w:sz w:val="21"/>
              </w:rPr>
              <w:t>年的备件服务能力（自购买之日起），或提供可兼容原设备的升级换代产品</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3</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供应链质量</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抗干扰性</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当产品部件出现供应风险时，供应商应通知采购人并提供风险应对方案确保产品的服务保障</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4</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供应能力证明</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供应商提供供应链稳定承诺书，确保产品的部件在产品服务周期内稳定供货</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关键部件安全要求</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关键部件安全要求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CPU</w:t>
            </w:r>
            <w:r>
              <w:rPr>
                <w:rFonts w:ascii="宋体" w:hAnsi="宋体" w:cs="宋体" w:eastAsia="宋体"/>
                <w:sz w:val="21"/>
              </w:rPr>
              <w:t>和操作系统等关键部件应当符合安全可靠测评要求</w:t>
            </w:r>
            <w:r>
              <w:rPr>
                <w:rFonts w:ascii="宋体" w:hAnsi="宋体" w:cs="宋体" w:eastAsia="宋体"/>
                <w:sz w:val="21"/>
              </w:rPr>
              <w:t>，</w:t>
            </w:r>
            <w:r>
              <w:rPr>
                <w:rFonts w:ascii="宋体" w:hAnsi="宋体" w:cs="宋体" w:eastAsia="宋体"/>
                <w:sz w:val="21"/>
              </w:rPr>
              <w:t>安全可靠等级至少达到</w:t>
            </w:r>
            <w:r>
              <w:rPr>
                <w:rFonts w:ascii="calibri" w:hAnsi="calibri" w:cs="calibri" w:eastAsia="calibri"/>
                <w:sz w:val="21"/>
              </w:rPr>
              <w:t>I</w:t>
            </w:r>
            <w:r>
              <w:rPr>
                <w:rFonts w:ascii="宋体" w:hAnsi="宋体" w:cs="宋体" w:eastAsia="宋体"/>
                <w:sz w:val="21"/>
              </w:rPr>
              <w:t>级并可在中国信息安全测评中心安全可靠测评结果公告中查询</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6</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整机安全性要求</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密码算法实现</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CPU</w:t>
            </w:r>
            <w:r>
              <w:rPr>
                <w:rFonts w:ascii="宋体" w:hAnsi="宋体" w:cs="宋体" w:eastAsia="宋体"/>
                <w:sz w:val="21"/>
              </w:rPr>
              <w:t xml:space="preserve">芯片应符合 </w:t>
            </w:r>
            <w:r>
              <w:rPr>
                <w:rFonts w:ascii="calibri" w:hAnsi="calibri" w:cs="calibri" w:eastAsia="calibri"/>
                <w:sz w:val="21"/>
              </w:rPr>
              <w:t>GM/T 0008</w:t>
            </w:r>
            <w:r>
              <w:rPr>
                <w:rFonts w:ascii="宋体" w:hAnsi="宋体" w:cs="宋体" w:eastAsia="宋体"/>
                <w:sz w:val="21"/>
              </w:rPr>
              <w:t xml:space="preserve">的相关规定，或芯片密码模块应符合 </w:t>
            </w:r>
            <w:r>
              <w:rPr>
                <w:rFonts w:ascii="calibri" w:hAnsi="calibri" w:cs="calibri" w:eastAsia="calibri"/>
                <w:sz w:val="21"/>
              </w:rPr>
              <w:t>GB/T 37092</w:t>
            </w:r>
            <w:r>
              <w:rPr>
                <w:rFonts w:ascii="宋体" w:hAnsi="宋体" w:cs="宋体" w:eastAsia="宋体"/>
                <w:sz w:val="21"/>
              </w:rPr>
              <w:t xml:space="preserve">或 </w:t>
            </w:r>
            <w:r>
              <w:rPr>
                <w:rFonts w:ascii="calibri" w:hAnsi="calibri" w:cs="calibri" w:eastAsia="calibri"/>
                <w:sz w:val="21"/>
              </w:rPr>
              <w:t>GM/T 0028</w:t>
            </w:r>
            <w:r>
              <w:rPr>
                <w:rFonts w:ascii="宋体" w:hAnsi="宋体" w:cs="宋体" w:eastAsia="宋体"/>
                <w:sz w:val="21"/>
              </w:rPr>
              <w:t>的相关规定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7</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信息安全基本要求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a)</w:t>
            </w:r>
            <w:r>
              <w:rPr>
                <w:rFonts w:ascii="宋体" w:hAnsi="宋体" w:cs="宋体" w:eastAsia="宋体"/>
                <w:sz w:val="21"/>
              </w:rPr>
              <w:t xml:space="preserve">产品应符合 </w:t>
            </w:r>
            <w:r>
              <w:rPr>
                <w:rFonts w:ascii="calibri" w:hAnsi="calibri" w:cs="calibri" w:eastAsia="calibri"/>
                <w:sz w:val="21"/>
              </w:rPr>
              <w:t>GB/T 39276</w:t>
            </w:r>
            <w:r>
              <w:rPr>
                <w:rFonts w:ascii="宋体" w:hAnsi="宋体" w:cs="宋体" w:eastAsia="宋体"/>
                <w:sz w:val="21"/>
              </w:rPr>
              <w:t xml:space="preserve">的 </w:t>
            </w:r>
            <w:r>
              <w:rPr>
                <w:rFonts w:ascii="calibri" w:hAnsi="calibri" w:cs="calibri" w:eastAsia="calibri"/>
                <w:sz w:val="21"/>
              </w:rPr>
              <w:t>5.2</w:t>
            </w:r>
            <w:r>
              <w:rPr>
                <w:rFonts w:ascii="宋体" w:hAnsi="宋体" w:cs="宋体" w:eastAsia="宋体"/>
                <w:sz w:val="21"/>
              </w:rPr>
              <w:t>的规定；</w:t>
            </w:r>
          </w:p>
          <w:p>
            <w:pPr>
              <w:pStyle w:val="null3"/>
              <w:jc w:val="left"/>
            </w:pPr>
            <w:r>
              <w:rPr>
                <w:rFonts w:ascii="calibri" w:hAnsi="calibri" w:cs="calibri" w:eastAsia="calibri"/>
                <w:sz w:val="21"/>
              </w:rPr>
              <w:t>b)</w:t>
            </w:r>
            <w:r>
              <w:rPr>
                <w:rFonts w:ascii="宋体" w:hAnsi="宋体" w:cs="宋体" w:eastAsia="宋体"/>
                <w:sz w:val="21"/>
              </w:rPr>
              <w:t xml:space="preserve">生产厂商应建立漏洞跟踪表，保证产品版本涉及到的漏洞 </w:t>
            </w:r>
            <w:r>
              <w:rPr>
                <w:rFonts w:ascii="calibri" w:hAnsi="calibri" w:cs="calibri" w:eastAsia="calibri"/>
                <w:sz w:val="21"/>
              </w:rPr>
              <w:t>(</w:t>
            </w:r>
            <w:r>
              <w:rPr>
                <w:rFonts w:ascii="宋体" w:hAnsi="宋体" w:cs="宋体" w:eastAsia="宋体"/>
                <w:sz w:val="21"/>
              </w:rPr>
              <w:t xml:space="preserve">如驱动程序等 </w:t>
            </w:r>
            <w:r>
              <w:rPr>
                <w:rFonts w:ascii="calibri" w:hAnsi="calibri" w:cs="calibri" w:eastAsia="calibri"/>
                <w:sz w:val="21"/>
              </w:rPr>
              <w:t>)</w:t>
            </w:r>
            <w:r>
              <w:rPr>
                <w:rFonts w:ascii="宋体" w:hAnsi="宋体" w:cs="宋体" w:eastAsia="宋体"/>
                <w:sz w:val="21"/>
              </w:rPr>
              <w:t>可查看；</w:t>
            </w:r>
          </w:p>
          <w:p>
            <w:pPr>
              <w:pStyle w:val="null3"/>
              <w:jc w:val="left"/>
            </w:pPr>
            <w:r>
              <w:rPr>
                <w:rFonts w:ascii="calibri" w:hAnsi="calibri" w:cs="calibri" w:eastAsia="calibri"/>
                <w:sz w:val="21"/>
              </w:rPr>
              <w:t>c)</w:t>
            </w:r>
            <w:r>
              <w:rPr>
                <w:rFonts w:ascii="宋体" w:hAnsi="宋体" w:cs="宋体" w:eastAsia="宋体"/>
                <w:sz w:val="21"/>
              </w:rPr>
              <w:t>产品不得包含已知的恶意代码或漏洞，不存在未声明的指令、功能、接口</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r>
              <w:rPr>
                <w:rFonts w:ascii="calibri" w:hAnsi="calibri" w:cs="calibri" w:eastAsia="calibri"/>
                <w:sz w:val="21"/>
              </w:rPr>
              <w:t>8</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固件安全启动</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支持固件安全启动功能，固件启动过程中只有通过启动校验才能正常启动</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r>
              <w:rPr>
                <w:rFonts w:ascii="calibri" w:hAnsi="calibri" w:cs="calibri" w:eastAsia="calibri"/>
                <w:sz w:val="21"/>
              </w:rPr>
              <w:t>49</w:t>
            </w:r>
          </w:p>
        </w:tc>
        <w:tc>
          <w:tcPr>
            <w:tcW w:type="dxa" w:w="1030"/>
            <w:vMerge/>
            <w:tcBorders>
              <w:top w:val="none" w:color="000000" w:sz="4"/>
              <w:left w:val="none" w:color="000000" w:sz="4"/>
              <w:bottom w:val="single" w:color="000000" w:sz="4"/>
              <w:right w:val="single" w:color="000000" w:sz="4"/>
            </w:tcBorders>
          </w:tcP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限用物质的限量要求</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 xml:space="preserve">符合 </w:t>
            </w:r>
            <w:r>
              <w:rPr>
                <w:rFonts w:ascii="calibri" w:hAnsi="calibri" w:cs="calibri" w:eastAsia="calibri"/>
                <w:sz w:val="21"/>
              </w:rPr>
              <w:t>GB/T 26572</w:t>
            </w:r>
            <w:r>
              <w:rPr>
                <w:rFonts w:ascii="宋体" w:hAnsi="宋体" w:cs="宋体" w:eastAsia="宋体"/>
                <w:sz w:val="21"/>
              </w:rPr>
              <w:t>中规定</w:t>
            </w:r>
          </w:p>
        </w:tc>
        <w:tc>
          <w:tcPr>
            <w:tcW w:type="dxa" w:w="640"/>
            <w:vMerge/>
            <w:tcBorders>
              <w:top w:val="singl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612"/>
            <w:vMerge/>
            <w:tcBorders>
              <w:top w:val="none" w:color="000000" w:sz="4"/>
              <w:left w:val="non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r>
              <w:rPr>
                <w:rFonts w:ascii="calibri" w:hAnsi="calibri" w:cs="calibri" w:eastAsia="calibri"/>
                <w:sz w:val="21"/>
              </w:rPr>
              <w:t>0</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其它要求</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网络同传和</w:t>
            </w:r>
          </w:p>
          <w:p>
            <w:pPr>
              <w:pStyle w:val="null3"/>
              <w:jc w:val="center"/>
            </w:pPr>
            <w:r>
              <w:rPr>
                <w:rFonts w:ascii="宋体" w:hAnsi="宋体" w:cs="宋体" w:eastAsia="宋体"/>
                <w:sz w:val="21"/>
              </w:rPr>
              <w:t>硬盘还原功能</w:t>
            </w:r>
          </w:p>
        </w:tc>
        <w:tc>
          <w:tcPr>
            <w:tcW w:type="dxa" w:w="3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出厂自带独立于操作系统之外的网络硬件同传还原卡或还原软件。须满足校方现有教学软件（比如</w:t>
            </w:r>
            <w:r>
              <w:rPr>
                <w:rFonts w:ascii="calibri" w:hAnsi="calibri" w:cs="calibri" w:eastAsia="calibri"/>
                <w:sz w:val="21"/>
              </w:rPr>
              <w:t>AutoCAD</w:t>
            </w:r>
            <w:r>
              <w:rPr>
                <w:rFonts w:ascii="宋体" w:hAnsi="宋体" w:cs="宋体" w:eastAsia="宋体"/>
                <w:sz w:val="21"/>
              </w:rPr>
              <w:t>、</w:t>
            </w:r>
            <w:r>
              <w:rPr>
                <w:rFonts w:ascii="calibri" w:hAnsi="calibri" w:cs="calibri" w:eastAsia="calibri"/>
                <w:sz w:val="21"/>
              </w:rPr>
              <w:t>3DMax</w:t>
            </w:r>
            <w:r>
              <w:rPr>
                <w:rFonts w:ascii="宋体" w:hAnsi="宋体" w:cs="宋体" w:eastAsia="宋体"/>
                <w:sz w:val="21"/>
              </w:rPr>
              <w:t>、</w:t>
            </w:r>
            <w:r>
              <w:rPr>
                <w:rFonts w:ascii="calibri" w:hAnsi="calibri" w:cs="calibri" w:eastAsia="calibri"/>
                <w:sz w:val="21"/>
              </w:rPr>
              <w:t>Adobe</w:t>
            </w:r>
            <w:r>
              <w:rPr>
                <w:rFonts w:ascii="宋体" w:hAnsi="宋体" w:cs="宋体" w:eastAsia="宋体"/>
                <w:sz w:val="21"/>
              </w:rPr>
              <w:t>等软件）的批量注册及还原保护。自带底层驱动，可实现多个操作系统开机可切换启动。支持</w:t>
            </w:r>
            <w:r>
              <w:rPr>
                <w:rFonts w:ascii="calibri" w:hAnsi="calibri" w:cs="calibri" w:eastAsia="calibri"/>
                <w:sz w:val="21"/>
              </w:rPr>
              <w:t>32</w:t>
            </w:r>
            <w:r>
              <w:rPr>
                <w:rFonts w:ascii="宋体" w:hAnsi="宋体" w:cs="宋体" w:eastAsia="宋体"/>
                <w:sz w:val="21"/>
              </w:rPr>
              <w:t>位和</w:t>
            </w:r>
            <w:r>
              <w:rPr>
                <w:rFonts w:ascii="calibri" w:hAnsi="calibri" w:cs="calibri" w:eastAsia="calibri"/>
                <w:sz w:val="21"/>
              </w:rPr>
              <w:t>64</w:t>
            </w:r>
            <w:r>
              <w:rPr>
                <w:rFonts w:ascii="宋体" w:hAnsi="宋体" w:cs="宋体" w:eastAsia="宋体"/>
                <w:sz w:val="21"/>
              </w:rPr>
              <w:t>位网络拷贝，可实现增量同传、断点续传，立即还原、手动还原、每日每周每月还原、自动和手动修改</w:t>
            </w:r>
            <w:r>
              <w:rPr>
                <w:rFonts w:ascii="calibri" w:hAnsi="calibri" w:cs="calibri" w:eastAsia="calibri"/>
                <w:sz w:val="21"/>
              </w:rPr>
              <w:t>IP</w:t>
            </w:r>
            <w:r>
              <w:rPr>
                <w:rFonts w:ascii="宋体" w:hAnsi="宋体" w:cs="宋体" w:eastAsia="宋体"/>
                <w:sz w:val="21"/>
              </w:rPr>
              <w:t>地址等功能。网络拷贝速度千兆环境下点对点最大可达</w:t>
            </w:r>
            <w:r>
              <w:rPr>
                <w:rFonts w:ascii="calibri" w:hAnsi="calibri" w:cs="calibri" w:eastAsia="calibri"/>
                <w:sz w:val="21"/>
              </w:rPr>
              <w:t>6GB/</w:t>
            </w:r>
            <w:r>
              <w:rPr>
                <w:rFonts w:ascii="宋体" w:hAnsi="宋体" w:cs="宋体" w:eastAsia="宋体"/>
                <w:sz w:val="21"/>
              </w:rPr>
              <w:t>分钟或以上（提供传输速度截图证明）。</w:t>
            </w:r>
          </w:p>
        </w:tc>
        <w:tc>
          <w:tcPr>
            <w:tcW w:type="dxa" w:w="640"/>
            <w:vMerge/>
            <w:tcBorders>
              <w:top w:val="single" w:color="000000" w:sz="4"/>
              <w:left w:val="none" w:color="000000" w:sz="4"/>
              <w:bottom w:val="single" w:color="000000" w:sz="4"/>
              <w:right w:val="single" w:color="000000" w:sz="4"/>
            </w:tcBorders>
          </w:tc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华文中宋" w:hAnsi="华文中宋" w:cs="华文中宋" w:eastAsia="华文中宋"/>
                <w:sz w:val="21"/>
              </w:rPr>
              <w:t>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华文中宋" w:hAnsi="华文中宋" w:cs="华文中宋" w:eastAsia="华文中宋"/>
                <w:sz w:val="24"/>
              </w:rPr>
              <w:t>综合布线及集成调试</w:t>
            </w:r>
          </w:p>
        </w:tc>
        <w:tc>
          <w:tcPr>
            <w:tcW w:type="dxa" w:w="666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30"/>
              <w:jc w:val="left"/>
            </w:pPr>
            <w:r>
              <w:rPr>
                <w:rFonts w:ascii="华文中宋" w:hAnsi="华文中宋" w:cs="华文中宋" w:eastAsia="华文中宋"/>
                <w:sz w:val="24"/>
              </w:rPr>
              <w:t>安防智能化系统的布线(含线材,辅材：线槽、水晶头</w:t>
            </w:r>
            <w:r>
              <w:rPr>
                <w:rFonts w:ascii="华文中宋" w:hAnsi="华文中宋" w:cs="华文中宋" w:eastAsia="华文中宋"/>
                <w:sz w:val="24"/>
              </w:rPr>
              <w:t>，胶布，塑料仔、自锁螺丝等）及安装对接调试。</w:t>
            </w:r>
          </w:p>
          <w:p>
            <w:pPr>
              <w:pStyle w:val="null3"/>
              <w:ind w:left="30"/>
              <w:jc w:val="left"/>
            </w:pPr>
            <w:r>
              <w:rPr>
                <w:rFonts w:ascii="华文中宋" w:hAnsi="华文中宋" w:cs="华文中宋" w:eastAsia="华文中宋"/>
                <w:sz w:val="24"/>
              </w:rPr>
              <w:t>1.</w:t>
            </w:r>
            <w:r>
              <w:rPr>
                <w:rFonts w:ascii="华文中宋" w:hAnsi="华文中宋" w:cs="华文中宋" w:eastAsia="华文中宋"/>
                <w:sz w:val="24"/>
              </w:rPr>
              <w:t>安防布线中五类网线：≥1100米，</w:t>
            </w:r>
            <w:r>
              <w:rPr>
                <w:rFonts w:ascii="华文中宋" w:hAnsi="华文中宋" w:cs="华文中宋" w:eastAsia="华文中宋"/>
                <w:sz w:val="24"/>
              </w:rPr>
              <w:t>性能符合GB/T 50312-2016超五类标准</w:t>
            </w:r>
            <w:r>
              <w:rPr>
                <w:rFonts w:ascii="华文中宋" w:hAnsi="华文中宋" w:cs="华文中宋" w:eastAsia="华文中宋"/>
                <w:sz w:val="24"/>
              </w:rPr>
              <w:t>；</w:t>
            </w:r>
            <w:r>
              <w:rPr>
                <w:rFonts w:ascii="华文中宋" w:hAnsi="华文中宋" w:cs="华文中宋" w:eastAsia="华文中宋"/>
                <w:sz w:val="24"/>
              </w:rPr>
              <w:t>绝缘层材料为高密度聚乙烯（HDPE）</w:t>
            </w:r>
            <w:r>
              <w:rPr>
                <w:rFonts w:ascii="华文中宋" w:hAnsi="华文中宋" w:cs="华文中宋" w:eastAsia="华文中宋"/>
                <w:sz w:val="24"/>
              </w:rPr>
              <w:t>。</w:t>
            </w:r>
          </w:p>
          <w:p>
            <w:pPr>
              <w:pStyle w:val="null3"/>
              <w:ind w:left="30"/>
              <w:jc w:val="left"/>
            </w:pPr>
            <w:r>
              <w:rPr>
                <w:rFonts w:ascii="华文中宋" w:hAnsi="华文中宋" w:cs="华文中宋" w:eastAsia="华文中宋"/>
                <w:sz w:val="24"/>
              </w:rPr>
              <w:t>2.</w:t>
            </w:r>
            <w:r>
              <w:rPr>
                <w:rFonts w:ascii="华文中宋" w:hAnsi="华文中宋" w:cs="华文中宋" w:eastAsia="华文中宋"/>
                <w:sz w:val="24"/>
              </w:rPr>
              <w:t>PVC25管：≥150米。</w:t>
            </w:r>
          </w:p>
          <w:p>
            <w:pPr>
              <w:pStyle w:val="null3"/>
              <w:ind w:left="30"/>
              <w:jc w:val="left"/>
            </w:pPr>
            <w:r>
              <w:rPr>
                <w:rFonts w:ascii="华文中宋" w:hAnsi="华文中宋" w:cs="华文中宋" w:eastAsia="华文中宋"/>
                <w:sz w:val="24"/>
              </w:rPr>
              <w:t>3.</w:t>
            </w:r>
            <w:r>
              <w:rPr>
                <w:rFonts w:ascii="华文中宋" w:hAnsi="华文中宋" w:cs="华文中宋" w:eastAsia="华文中宋"/>
                <w:sz w:val="24"/>
              </w:rPr>
              <w:t>电源线：RVV</w:t>
            </w:r>
            <w:r>
              <w:rPr>
                <w:rFonts w:ascii="&quot;times new roman&quot;" w:hAnsi="&quot;times new roman&quot;" w:cs="&quot;times new roman&quot;" w:eastAsia="&quot;times new roman&quot;"/>
                <w:sz w:val="19"/>
              </w:rPr>
              <w:t xml:space="preserve"> </w:t>
            </w:r>
            <w:r>
              <w:rPr>
                <w:rFonts w:ascii="华文中宋" w:hAnsi="华文中宋" w:cs="华文中宋" w:eastAsia="华文中宋"/>
                <w:sz w:val="24"/>
              </w:rPr>
              <w:t>2*1.5</w:t>
            </w:r>
            <w:r>
              <w:rPr>
                <w:rFonts w:ascii="华文中宋" w:hAnsi="华文中宋" w:cs="华文中宋" w:eastAsia="华文中宋"/>
                <w:sz w:val="24"/>
              </w:rPr>
              <w:t>，轻型聚氯乙烯护套软线</w:t>
            </w:r>
            <w:r>
              <w:rPr>
                <w:rFonts w:ascii="华文中宋" w:hAnsi="华文中宋" w:cs="华文中宋" w:eastAsia="华文中宋"/>
                <w:sz w:val="24"/>
              </w:rPr>
              <w:t>，</w:t>
            </w:r>
            <w:r>
              <w:rPr>
                <w:rFonts w:ascii="华文中宋" w:hAnsi="华文中宋" w:cs="华文中宋" w:eastAsia="华文中宋"/>
                <w:sz w:val="24"/>
              </w:rPr>
              <w:t>≥</w:t>
            </w:r>
            <w:r>
              <w:rPr>
                <w:rFonts w:ascii="华文中宋" w:hAnsi="华文中宋" w:cs="华文中宋" w:eastAsia="华文中宋"/>
                <w:sz w:val="24"/>
              </w:rPr>
              <w:t>400米。</w:t>
            </w:r>
          </w:p>
          <w:p>
            <w:pPr>
              <w:pStyle w:val="null3"/>
              <w:jc w:val="left"/>
            </w:pPr>
            <w:r>
              <w:rPr>
                <w:rFonts w:ascii="华文中宋" w:hAnsi="华文中宋" w:cs="华文中宋" w:eastAsia="华文中宋"/>
                <w:sz w:val="24"/>
              </w:rPr>
              <w:t>4.</w:t>
            </w:r>
            <w:r>
              <w:rPr>
                <w:rFonts w:ascii="华文中宋" w:hAnsi="华文中宋" w:cs="华文中宋" w:eastAsia="华文中宋"/>
                <w:sz w:val="24"/>
              </w:rPr>
              <w:t xml:space="preserve">12V25A电源适配器： </w:t>
            </w:r>
            <w:r>
              <w:rPr>
                <w:rFonts w:ascii="华文中宋" w:hAnsi="华文中宋" w:cs="华文中宋" w:eastAsia="华文中宋"/>
                <w:sz w:val="24"/>
              </w:rPr>
              <w:t>≥</w:t>
            </w:r>
            <w:r>
              <w:rPr>
                <w:rFonts w:ascii="华文中宋" w:hAnsi="华文中宋" w:cs="华文中宋" w:eastAsia="华文中宋"/>
                <w:sz w:val="24"/>
              </w:rPr>
              <w:t>1个。</w:t>
            </w:r>
          </w:p>
          <w:p>
            <w:pPr>
              <w:pStyle w:val="null3"/>
              <w:ind w:left="30"/>
              <w:jc w:val="left"/>
            </w:pPr>
            <w:r>
              <w:rPr>
                <w:rFonts w:ascii="华文中宋" w:hAnsi="华文中宋" w:cs="华文中宋" w:eastAsia="华文中宋"/>
                <w:sz w:val="24"/>
              </w:rPr>
              <w:t>5.5</w:t>
            </w:r>
            <w:r>
              <w:rPr>
                <w:rFonts w:ascii="华文中宋" w:hAnsi="华文中宋" w:cs="华文中宋" w:eastAsia="华文中宋"/>
                <w:sz w:val="24"/>
              </w:rPr>
              <w:t>类水晶头：</w:t>
            </w:r>
            <w:r>
              <w:rPr>
                <w:rFonts w:ascii="华文中宋" w:hAnsi="华文中宋" w:cs="华文中宋" w:eastAsia="华文中宋"/>
                <w:sz w:val="24"/>
              </w:rPr>
              <w:t>≥</w:t>
            </w:r>
            <w:r>
              <w:rPr>
                <w:rFonts w:ascii="华文中宋" w:hAnsi="华文中宋" w:cs="华文中宋" w:eastAsia="华文中宋"/>
                <w:sz w:val="24"/>
              </w:rPr>
              <w:t>30个；</w:t>
            </w:r>
          </w:p>
          <w:p>
            <w:pPr>
              <w:pStyle w:val="null3"/>
              <w:ind w:left="30"/>
              <w:jc w:val="left"/>
            </w:pPr>
            <w:r>
              <w:rPr>
                <w:rFonts w:ascii="华文中宋" w:hAnsi="华文中宋" w:cs="华文中宋" w:eastAsia="华文中宋"/>
                <w:sz w:val="24"/>
              </w:rPr>
              <w:t>6.</w:t>
            </w:r>
            <w:r>
              <w:rPr>
                <w:rFonts w:ascii="华文中宋" w:hAnsi="华文中宋" w:cs="华文中宋" w:eastAsia="华文中宋"/>
                <w:sz w:val="24"/>
              </w:rPr>
              <w:t>PVC32管：</w:t>
            </w:r>
            <w:r>
              <w:rPr>
                <w:rFonts w:ascii="华文中宋" w:hAnsi="华文中宋" w:cs="华文中宋" w:eastAsia="华文中宋"/>
                <w:sz w:val="24"/>
              </w:rPr>
              <w:t>≥</w:t>
            </w:r>
            <w:r>
              <w:rPr>
                <w:rFonts w:ascii="华文中宋" w:hAnsi="华文中宋" w:cs="华文中宋" w:eastAsia="华文中宋"/>
                <w:sz w:val="24"/>
              </w:rPr>
              <w:t>300米波纹管；</w:t>
            </w:r>
          </w:p>
          <w:p>
            <w:pPr>
              <w:pStyle w:val="null3"/>
              <w:ind w:left="30"/>
              <w:jc w:val="left"/>
            </w:pPr>
            <w:r>
              <w:rPr>
                <w:rFonts w:ascii="华文中宋" w:hAnsi="华文中宋" w:cs="华文中宋" w:eastAsia="华文中宋"/>
                <w:sz w:val="24"/>
              </w:rPr>
              <w:t>7.</w:t>
            </w:r>
            <w:r>
              <w:rPr>
                <w:rFonts w:ascii="华文中宋" w:hAnsi="华文中宋" w:cs="华文中宋" w:eastAsia="华文中宋"/>
                <w:sz w:val="24"/>
              </w:rPr>
              <w:t>16口交换机</w:t>
            </w:r>
            <w:r>
              <w:rPr>
                <w:rFonts w:ascii="华文中宋" w:hAnsi="华文中宋" w:cs="华文中宋" w:eastAsia="华文中宋"/>
                <w:sz w:val="24"/>
              </w:rPr>
              <w:t>（</w:t>
            </w:r>
            <w:r>
              <w:rPr>
                <w:rFonts w:ascii="华文中宋" w:hAnsi="华文中宋" w:cs="华文中宋" w:eastAsia="华文中宋"/>
                <w:sz w:val="24"/>
              </w:rPr>
              <w:t>百兆）：</w:t>
            </w:r>
            <w:r>
              <w:rPr>
                <w:rFonts w:ascii="华文中宋" w:hAnsi="华文中宋" w:cs="华文中宋" w:eastAsia="华文中宋"/>
                <w:sz w:val="24"/>
              </w:rPr>
              <w:t>≥</w:t>
            </w:r>
            <w:r>
              <w:rPr>
                <w:rFonts w:ascii="华文中宋" w:hAnsi="华文中宋" w:cs="华文中宋" w:eastAsia="华文中宋"/>
                <w:sz w:val="24"/>
              </w:rPr>
              <w:t>1台；</w:t>
            </w:r>
          </w:p>
          <w:p>
            <w:pPr>
              <w:pStyle w:val="null3"/>
              <w:ind w:left="30"/>
              <w:jc w:val="left"/>
            </w:pPr>
            <w:r>
              <w:rPr>
                <w:rFonts w:ascii="华文中宋" w:hAnsi="华文中宋" w:cs="华文中宋" w:eastAsia="华文中宋"/>
                <w:sz w:val="24"/>
              </w:rPr>
              <w:t>8.</w:t>
            </w:r>
            <w:r>
              <w:rPr>
                <w:rFonts w:ascii="华文中宋" w:hAnsi="华文中宋" w:cs="华文中宋" w:eastAsia="华文中宋"/>
                <w:sz w:val="24"/>
              </w:rPr>
              <w:t>环境监测、烟感：≥10套，</w:t>
            </w:r>
            <w:r>
              <w:rPr>
                <w:rFonts w:ascii="华文中宋" w:hAnsi="华文中宋" w:cs="华文中宋" w:eastAsia="华文中宋"/>
                <w:sz w:val="24"/>
              </w:rPr>
              <w:t>吸顶安装，通过网络传输数据；同时采集温度，湿度，VOC，甲醛，烟感数据</w:t>
            </w:r>
            <w:r>
              <w:rPr>
                <w:rFonts w:ascii="华文中宋" w:hAnsi="华文中宋" w:cs="华文中宋" w:eastAsia="华文中宋"/>
                <w:sz w:val="24"/>
              </w:rPr>
              <w:t>；对接</w:t>
            </w:r>
            <w:r>
              <w:rPr>
                <w:rFonts w:ascii="华文中宋" w:hAnsi="华文中宋" w:cs="华文中宋" w:eastAsia="华文中宋"/>
                <w:sz w:val="24"/>
              </w:rPr>
              <w:t>实验室环境监测管理系统，并保证稳定运行（系统接口参数由采购</w:t>
            </w:r>
            <w:r>
              <w:rPr>
                <w:rFonts w:ascii="华文中宋" w:hAnsi="华文中宋" w:cs="华文中宋" w:eastAsia="华文中宋"/>
                <w:sz w:val="24"/>
              </w:rPr>
              <w:t>人</w:t>
            </w:r>
            <w:r>
              <w:rPr>
                <w:rFonts w:ascii="华文中宋" w:hAnsi="华文中宋" w:cs="华文中宋" w:eastAsia="华文中宋"/>
                <w:sz w:val="24"/>
              </w:rPr>
              <w:t>提供）</w:t>
            </w:r>
            <w:r>
              <w:rPr>
                <w:rFonts w:ascii="华文中宋" w:hAnsi="华文中宋" w:cs="华文中宋" w:eastAsia="华文中宋"/>
                <w:sz w:val="24"/>
              </w:rPr>
              <w:t>。</w:t>
            </w:r>
          </w:p>
          <w:p>
            <w:pPr>
              <w:pStyle w:val="null3"/>
              <w:ind w:right="60"/>
              <w:jc w:val="left"/>
            </w:pPr>
            <w:r>
              <w:rPr>
                <w:rFonts w:ascii="华文中宋" w:hAnsi="华文中宋" w:cs="华文中宋" w:eastAsia="华文中宋"/>
                <w:sz w:val="24"/>
              </w:rPr>
              <w:t>9.</w:t>
            </w:r>
            <w:r>
              <w:rPr>
                <w:rFonts w:ascii="华文中宋" w:hAnsi="华文中宋" w:cs="华文中宋" w:eastAsia="华文中宋"/>
                <w:sz w:val="24"/>
              </w:rPr>
              <w:t>3间机房线路测试</w:t>
            </w:r>
            <w:r>
              <w:rPr>
                <w:rFonts w:ascii="华文中宋" w:hAnsi="华文中宋" w:cs="华文中宋" w:eastAsia="华文中宋"/>
                <w:sz w:val="24"/>
              </w:rPr>
              <w:t>及部分布线改造；</w:t>
            </w:r>
            <w:r>
              <w:rPr>
                <w:rFonts w:ascii="华文中宋" w:hAnsi="华文中宋" w:cs="华文中宋" w:eastAsia="华文中宋"/>
                <w:sz w:val="24"/>
              </w:rPr>
              <w:t>6类网线：</w:t>
            </w:r>
            <w:r>
              <w:rPr>
                <w:rFonts w:ascii="华文中宋" w:hAnsi="华文中宋" w:cs="华文中宋" w:eastAsia="华文中宋"/>
                <w:sz w:val="24"/>
              </w:rPr>
              <w:t>≥</w:t>
            </w:r>
            <w:r>
              <w:rPr>
                <w:rFonts w:ascii="华文中宋" w:hAnsi="华文中宋" w:cs="华文中宋" w:eastAsia="华文中宋"/>
                <w:sz w:val="24"/>
              </w:rPr>
              <w:t>800</w:t>
            </w:r>
            <w:r>
              <w:rPr>
                <w:rFonts w:ascii="华文中宋" w:hAnsi="华文中宋" w:cs="华文中宋" w:eastAsia="华文中宋"/>
                <w:sz w:val="24"/>
              </w:rPr>
              <w:t>米，</w:t>
            </w:r>
            <w:r>
              <w:rPr>
                <w:rFonts w:ascii="华文中宋" w:hAnsi="华文中宋" w:cs="华文中宋" w:eastAsia="华文中宋"/>
                <w:sz w:val="24"/>
              </w:rPr>
              <w:t>性能符合GB/T 50312-2016六类标准</w:t>
            </w:r>
            <w:r>
              <w:rPr>
                <w:rFonts w:ascii="华文中宋" w:hAnsi="华文中宋" w:cs="华文中宋" w:eastAsia="华文中宋"/>
                <w:sz w:val="24"/>
              </w:rPr>
              <w:t>，</w:t>
            </w:r>
            <w:r>
              <w:rPr>
                <w:rFonts w:ascii="华文中宋" w:hAnsi="华文中宋" w:cs="华文中宋" w:eastAsia="华文中宋"/>
                <w:sz w:val="24"/>
              </w:rPr>
              <w:t>中心PE十字骨架</w:t>
            </w:r>
            <w:r>
              <w:rPr>
                <w:rFonts w:ascii="华文中宋" w:hAnsi="华文中宋" w:cs="华文中宋" w:eastAsia="华文中宋"/>
                <w:sz w:val="24"/>
              </w:rPr>
              <w:t>；BV2.5电源线：</w:t>
            </w:r>
            <w:r>
              <w:rPr>
                <w:rFonts w:ascii="华文中宋" w:hAnsi="华文中宋" w:cs="华文中宋" w:eastAsia="华文中宋"/>
                <w:sz w:val="24"/>
              </w:rPr>
              <w:t>≥</w:t>
            </w:r>
            <w:r>
              <w:rPr>
                <w:rFonts w:ascii="华文中宋" w:hAnsi="华文中宋" w:cs="华文中宋" w:eastAsia="华文中宋"/>
                <w:sz w:val="24"/>
              </w:rPr>
              <w:t>700米，</w:t>
            </w:r>
            <w:r>
              <w:rPr>
                <w:rFonts w:ascii="华文中宋" w:hAnsi="华文中宋" w:cs="华文中宋" w:eastAsia="华文中宋"/>
                <w:sz w:val="24"/>
              </w:rPr>
              <w:t>铜芯聚氯乙烯绝缘布电线；PVC25管：</w:t>
            </w:r>
            <w:r>
              <w:rPr>
                <w:rFonts w:ascii="华文中宋" w:hAnsi="华文中宋" w:cs="华文中宋" w:eastAsia="华文中宋"/>
                <w:sz w:val="24"/>
              </w:rPr>
              <w:t>≥</w:t>
            </w:r>
            <w:r>
              <w:rPr>
                <w:rFonts w:ascii="华文中宋" w:hAnsi="华文中宋" w:cs="华文中宋" w:eastAsia="华文中宋"/>
                <w:sz w:val="24"/>
              </w:rPr>
              <w:t>70米；6类水晶头：1批。</w:t>
            </w:r>
          </w:p>
          <w:p>
            <w:pPr>
              <w:pStyle w:val="null3"/>
              <w:jc w:val="left"/>
            </w:pPr>
            <w:r>
              <w:rPr>
                <w:rFonts w:ascii="华文中宋" w:hAnsi="华文中宋" w:cs="华文中宋" w:eastAsia="华文中宋"/>
                <w:sz w:val="24"/>
              </w:rPr>
              <w:t>保修服务：</w:t>
            </w:r>
            <w:r>
              <w:rPr>
                <w:rFonts w:ascii="华文中宋" w:hAnsi="华文中宋" w:cs="华文中宋" w:eastAsia="华文中宋"/>
                <w:sz w:val="24"/>
              </w:rPr>
              <w:t>提供5年免费质</w:t>
            </w:r>
            <w:r>
              <w:rPr>
                <w:rFonts w:ascii="华文中宋" w:hAnsi="华文中宋" w:cs="华文中宋" w:eastAsia="华文中宋"/>
                <w:sz w:val="24"/>
              </w:rPr>
              <w:t>保。本项</w:t>
            </w:r>
            <w:r>
              <w:rPr>
                <w:rFonts w:ascii="华文中宋" w:hAnsi="华文中宋" w:cs="华文中宋" w:eastAsia="华文中宋"/>
                <w:sz w:val="24"/>
              </w:rPr>
              <w:t>线材辅材为包干，若有超出，须按采购</w:t>
            </w:r>
            <w:r>
              <w:rPr>
                <w:rFonts w:ascii="华文中宋" w:hAnsi="华文中宋" w:cs="华文中宋" w:eastAsia="华文中宋"/>
                <w:sz w:val="24"/>
              </w:rPr>
              <w:t>人</w:t>
            </w:r>
            <w:r>
              <w:rPr>
                <w:rFonts w:ascii="华文中宋" w:hAnsi="华文中宋" w:cs="华文中宋" w:eastAsia="华文中宋"/>
                <w:sz w:val="24"/>
              </w:rPr>
              <w:t>要求完成，不得再增补差价</w:t>
            </w:r>
            <w:r>
              <w:rPr>
                <w:rFonts w:ascii="华文中宋" w:hAnsi="华文中宋" w:cs="华文中宋" w:eastAsia="华文中宋"/>
                <w:sz w:val="24"/>
              </w:rPr>
              <w:t>。</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华文中宋" w:hAnsi="华文中宋" w:cs="华文中宋" w:eastAsia="华文中宋"/>
                <w:sz w:val="24"/>
              </w:rPr>
              <w:t>1</w:t>
            </w:r>
            <w:r>
              <w:rPr>
                <w:rFonts w:ascii="华文中宋" w:hAnsi="华文中宋" w:cs="华文中宋" w:eastAsia="华文中宋"/>
                <w:sz w:val="24"/>
              </w:rPr>
              <w:t>项</w:t>
            </w:r>
          </w:p>
        </w:tc>
      </w:tr>
    </w:tbl>
    <w:p>
      <w:pPr>
        <w:pStyle w:val="null3"/>
        <w:jc w:val="both"/>
      </w:pPr>
      <w:r>
        <w:rPr>
          <w:rFonts w:ascii="宋体" w:hAnsi="宋体" w:cs="宋体" w:eastAsia="宋体"/>
          <w:sz w:val="28"/>
          <w:b/>
        </w:rPr>
        <w:t>备注：</w:t>
      </w:r>
      <w:r>
        <w:rPr>
          <w:rFonts w:ascii="calibri" w:hAnsi="calibri" w:cs="calibri" w:eastAsia="calibri"/>
          <w:sz w:val="28"/>
          <w:b/>
        </w:rPr>
        <w:t>1</w:t>
      </w:r>
      <w:r>
        <w:rPr>
          <w:rFonts w:ascii="宋体" w:hAnsi="宋体" w:cs="宋体" w:eastAsia="宋体"/>
          <w:sz w:val="28"/>
          <w:b/>
        </w:rPr>
        <w:t>、以上技术参数为基本参数要求，不允许有负偏离</w:t>
      </w:r>
      <w:r>
        <w:rPr>
          <w:rFonts w:ascii="宋体" w:hAnsi="宋体" w:cs="宋体" w:eastAsia="宋体"/>
          <w:sz w:val="28"/>
          <w:b/>
        </w:rPr>
        <w:t>，</w:t>
      </w:r>
      <w:r>
        <w:rPr>
          <w:rFonts w:ascii="宋体" w:hAnsi="宋体" w:cs="宋体" w:eastAsia="宋体"/>
          <w:sz w:val="28"/>
          <w:b/>
        </w:rPr>
        <w:t>否则为无效投标。</w:t>
      </w:r>
    </w:p>
    <w:p>
      <w:pPr>
        <w:pStyle w:val="null3"/>
        <w:ind w:firstLine="562"/>
        <w:jc w:val="both"/>
      </w:pPr>
      <w:r>
        <w:rPr>
          <w:rFonts w:ascii="calibri" w:hAnsi="calibri" w:cs="calibri" w:eastAsia="calibri"/>
          <w:sz w:val="28"/>
          <w:b/>
        </w:rPr>
        <w:t>2</w:t>
      </w:r>
      <w:r>
        <w:rPr>
          <w:rFonts w:ascii="宋体" w:hAnsi="宋体" w:cs="宋体" w:eastAsia="宋体"/>
          <w:sz w:val="28"/>
          <w:b/>
        </w:rPr>
        <w:t>、本项目台式计算机为政府采购强制节能产品，供应商应提供所投产品为政府采购强制节能产品目录清单内产品的证明材料，未提供视为无效投标。</w:t>
      </w:r>
    </w:p>
    <w:p>
      <w:pPr>
        <w:pStyle w:val="null3"/>
        <w:spacing w:after="120"/>
        <w:ind w:firstLine="562"/>
        <w:jc w:val="both"/>
      </w:pPr>
      <w:r>
        <w:rPr>
          <w:rFonts w:ascii="calibri" w:hAnsi="calibri" w:cs="calibri" w:eastAsia="calibri"/>
          <w:sz w:val="28"/>
          <w:b/>
        </w:rPr>
        <w:t>3</w:t>
      </w:r>
      <w:r>
        <w:rPr>
          <w:rFonts w:ascii="宋体" w:hAnsi="宋体" w:cs="宋体" w:eastAsia="宋体"/>
          <w:sz w:val="28"/>
          <w:b/>
        </w:rPr>
        <w:t>、</w:t>
      </w:r>
      <w:r>
        <w:rPr>
          <w:rFonts w:ascii="宋体" w:hAnsi="宋体" w:cs="宋体" w:eastAsia="宋体"/>
          <w:sz w:val="28"/>
          <w:b/>
        </w:rPr>
        <w:t>本项目中台式计算机须符合财库〔</w:t>
      </w:r>
      <w:r>
        <w:rPr>
          <w:rFonts w:ascii="calibri" w:hAnsi="calibri" w:cs="calibri" w:eastAsia="calibri"/>
          <w:sz w:val="28"/>
          <w:b/>
        </w:rPr>
        <w:t>2023</w:t>
      </w:r>
      <w:r>
        <w:rPr>
          <w:rFonts w:ascii="宋体" w:hAnsi="宋体" w:cs="宋体" w:eastAsia="宋体"/>
          <w:sz w:val="28"/>
          <w:b/>
        </w:rPr>
        <w:t>〕</w:t>
      </w:r>
      <w:r>
        <w:rPr>
          <w:rFonts w:ascii="calibri" w:hAnsi="calibri" w:cs="calibri" w:eastAsia="calibri"/>
          <w:sz w:val="28"/>
          <w:b/>
        </w:rPr>
        <w:t>29</w:t>
      </w:r>
      <w:r>
        <w:rPr>
          <w:rFonts w:ascii="宋体" w:hAnsi="宋体" w:cs="宋体" w:eastAsia="宋体"/>
          <w:sz w:val="28"/>
          <w:b/>
        </w:rPr>
        <w:t>号 台式计算机政府采购需求标准（</w:t>
      </w:r>
      <w:r>
        <w:rPr>
          <w:rFonts w:ascii="calibri" w:hAnsi="calibri" w:cs="calibri" w:eastAsia="calibri"/>
          <w:sz w:val="28"/>
          <w:b/>
        </w:rPr>
        <w:t>2023</w:t>
      </w:r>
      <w:r>
        <w:rPr>
          <w:rFonts w:ascii="宋体" w:hAnsi="宋体" w:cs="宋体" w:eastAsia="宋体"/>
          <w:sz w:val="28"/>
          <w:b/>
        </w:rPr>
        <w:t>年版）的相关规定，且</w:t>
      </w:r>
      <w:r>
        <w:rPr>
          <w:rFonts w:ascii="calibri" w:hAnsi="calibri" w:cs="calibri" w:eastAsia="calibri"/>
          <w:sz w:val="28"/>
          <w:b/>
        </w:rPr>
        <w:t>CPU</w:t>
      </w:r>
      <w:r>
        <w:rPr>
          <w:rFonts w:ascii="宋体" w:hAnsi="宋体" w:cs="宋体" w:eastAsia="宋体"/>
          <w:sz w:val="28"/>
          <w:b/>
        </w:rPr>
        <w:t>和操作系统等关键部件应当符合安全可靠测评要求、安全可靠等级至少达到</w:t>
      </w:r>
      <w:r>
        <w:rPr>
          <w:rFonts w:ascii="calibri" w:hAnsi="calibri" w:cs="calibri" w:eastAsia="calibri"/>
          <w:sz w:val="28"/>
          <w:b/>
        </w:rPr>
        <w:t>I</w:t>
      </w:r>
      <w:r>
        <w:rPr>
          <w:rFonts w:ascii="宋体" w:hAnsi="宋体" w:cs="宋体" w:eastAsia="宋体"/>
          <w:sz w:val="28"/>
          <w:b/>
        </w:rPr>
        <w:t>级并可在中国信息安全测评中心安全可靠测评结果公告中查询，投标人须提供相应承诺函。</w:t>
      </w:r>
    </w:p>
    <w:p>
      <w:pPr>
        <w:pStyle w:val="null3"/>
        <w:spacing w:after="120"/>
        <w:ind w:firstLine="562"/>
        <w:jc w:val="both"/>
      </w:pPr>
      <w:r>
        <w:rPr>
          <w:rFonts w:ascii="calibri" w:hAnsi="calibri" w:cs="calibri" w:eastAsia="calibri"/>
          <w:sz w:val="28"/>
          <w:b/>
        </w:rPr>
        <w:t>4</w:t>
      </w:r>
      <w:r>
        <w:rPr>
          <w:rFonts w:ascii="宋体" w:hAnsi="宋体" w:cs="宋体" w:eastAsia="宋体"/>
          <w:sz w:val="28"/>
          <w:b/>
        </w:rPr>
        <w:t>、</w:t>
      </w:r>
      <w:r>
        <w:rPr>
          <w:rFonts w:ascii="宋体" w:hAnsi="宋体" w:cs="宋体" w:eastAsia="宋体"/>
          <w:sz w:val="28"/>
          <w:b/>
        </w:rPr>
        <w:t>本项目对应的中小企业划分标准所属行业为：工业，标的名称参照《采购标的一览表》中的“采购标的”，供应商在编制《中小企业声明函》时应按照以上要求填写，否则视为未提供《中小企业声明函》。货物类项目《中小企业声明函》中应填写产品制造商的相关信息（供应商</w:t>
      </w:r>
      <w:r>
        <w:rPr>
          <w:rFonts w:ascii="宋体" w:hAnsi="宋体" w:cs="宋体" w:eastAsia="宋体"/>
          <w:sz w:val="28"/>
          <w:b/>
        </w:rPr>
        <w:t>应从制造商处获得充分、准确的信息</w:t>
      </w:r>
      <w:r>
        <w:rPr>
          <w:rFonts w:ascii="宋体" w:hAnsi="宋体" w:cs="宋体" w:eastAsia="宋体"/>
          <w:sz w:val="28"/>
          <w:b/>
        </w:rPr>
        <w:t>），服务类项目《中小企业声明函》中应填写服务承接企业的相关信息，供应商</w:t>
      </w:r>
      <w:r>
        <w:rPr>
          <w:rFonts w:ascii="宋体" w:hAnsi="宋体" w:cs="宋体" w:eastAsia="宋体"/>
          <w:sz w:val="28"/>
          <w:b/>
        </w:rPr>
        <w:t>对其出具的《中小企业声明函》真实性负责</w:t>
      </w:r>
      <w:r>
        <w:rPr>
          <w:rFonts w:ascii="宋体" w:hAnsi="宋体" w:cs="宋体" w:eastAsia="宋体"/>
          <w:sz w:val="28"/>
          <w:b/>
        </w:rPr>
        <w:t>。</w:t>
      </w:r>
    </w:p>
    <w:p>
      <w:pPr>
        <w:pStyle w:val="null3"/>
        <w:ind w:firstLine="560"/>
        <w:jc w:val="both"/>
      </w:pPr>
      <w:r>
        <w:rPr>
          <w:rFonts w:ascii="calibri" w:hAnsi="calibri" w:cs="calibri" w:eastAsia="calibri"/>
          <w:sz w:val="28"/>
        </w:rPr>
        <w:t>二</w:t>
      </w:r>
      <w:r>
        <w:rPr>
          <w:rFonts w:ascii="宋体" w:hAnsi="宋体" w:cs="宋体" w:eastAsia="宋体"/>
          <w:sz w:val="28"/>
        </w:rPr>
        <w:t>、服务要求</w:t>
      </w:r>
    </w:p>
    <w:p>
      <w:pPr>
        <w:pStyle w:val="null3"/>
        <w:ind w:firstLine="560"/>
        <w:jc w:val="both"/>
      </w:pPr>
      <w:r>
        <w:rPr>
          <w:rFonts w:ascii="宋体" w:hAnsi="宋体" w:cs="宋体" w:eastAsia="宋体"/>
          <w:sz w:val="28"/>
        </w:rPr>
        <w:t>（一）</w:t>
      </w:r>
      <w:r>
        <w:rPr>
          <w:rFonts w:ascii="宋体" w:hAnsi="宋体" w:cs="宋体" w:eastAsia="宋体"/>
          <w:sz w:val="28"/>
        </w:rPr>
        <w:t>成交供应商</w:t>
      </w:r>
      <w:r>
        <w:rPr>
          <w:rFonts w:ascii="宋体" w:hAnsi="宋体" w:cs="宋体" w:eastAsia="宋体"/>
          <w:sz w:val="28"/>
        </w:rPr>
        <w:t>对提供的货物或服务，因产品及服务质量、或知识产权纠纷等问题，必须提供保修、包换、包退等服务。</w:t>
      </w:r>
    </w:p>
    <w:p>
      <w:pPr>
        <w:pStyle w:val="null3"/>
        <w:ind w:firstLine="560"/>
        <w:jc w:val="both"/>
      </w:pPr>
      <w:r>
        <w:rPr>
          <w:rFonts w:ascii="宋体" w:hAnsi="宋体" w:cs="宋体" w:eastAsia="宋体"/>
          <w:sz w:val="28"/>
        </w:rPr>
        <w:t>（二）货物安装调试合格后，</w:t>
      </w:r>
      <w:r>
        <w:rPr>
          <w:rFonts w:ascii="宋体" w:hAnsi="宋体" w:cs="宋体" w:eastAsia="宋体"/>
          <w:sz w:val="28"/>
        </w:rPr>
        <w:t>成交</w:t>
      </w:r>
      <w:r>
        <w:rPr>
          <w:rFonts w:ascii="宋体" w:hAnsi="宋体" w:cs="宋体" w:eastAsia="宋体"/>
          <w:sz w:val="28"/>
        </w:rPr>
        <w:t>供应商负责对</w:t>
      </w:r>
      <w:r>
        <w:rPr>
          <w:rFonts w:ascii="宋体" w:hAnsi="宋体" w:cs="宋体" w:eastAsia="宋体"/>
          <w:sz w:val="28"/>
        </w:rPr>
        <w:t>采购人</w:t>
      </w:r>
      <w:r>
        <w:rPr>
          <w:rFonts w:ascii="宋体" w:hAnsi="宋体" w:cs="宋体" w:eastAsia="宋体"/>
          <w:sz w:val="28"/>
        </w:rPr>
        <w:t>技术人员进行免费现场培训</w:t>
      </w:r>
      <w:r>
        <w:rPr>
          <w:rFonts w:ascii="宋体" w:hAnsi="宋体" w:cs="宋体" w:eastAsia="宋体"/>
          <w:sz w:val="28"/>
        </w:rPr>
        <w:t>（成交供应商若无法胜任，须联系厂家技术人员进行培训）</w:t>
      </w:r>
      <w:r>
        <w:rPr>
          <w:rFonts w:ascii="宋体" w:hAnsi="宋体" w:cs="宋体" w:eastAsia="宋体"/>
          <w:sz w:val="28"/>
        </w:rPr>
        <w:t>，培训内容包括系统的功能、原理、使用与维护等，培训日程视实际情况另定。</w:t>
      </w:r>
    </w:p>
    <w:p>
      <w:pPr>
        <w:pStyle w:val="null3"/>
        <w:ind w:firstLine="560"/>
        <w:jc w:val="both"/>
      </w:pPr>
      <w:r>
        <w:rPr>
          <w:rFonts w:ascii="宋体" w:hAnsi="宋体" w:cs="宋体" w:eastAsia="宋体"/>
          <w:sz w:val="28"/>
        </w:rPr>
        <w:t>（三）质保期：</w:t>
      </w:r>
      <w:r>
        <w:rPr>
          <w:rFonts w:ascii="宋体" w:hAnsi="宋体" w:cs="宋体" w:eastAsia="宋体"/>
          <w:sz w:val="28"/>
        </w:rPr>
        <w:t>成交供应商</w:t>
      </w:r>
      <w:r>
        <w:rPr>
          <w:rFonts w:ascii="宋体" w:hAnsi="宋体" w:cs="宋体" w:eastAsia="宋体"/>
          <w:sz w:val="28"/>
        </w:rPr>
        <w:t>所供货物（设备、货物或服务）质保期自最终验收合格之日起开始计算，</w:t>
      </w:r>
      <w:r>
        <w:rPr>
          <w:rFonts w:ascii="宋体" w:hAnsi="宋体" w:cs="宋体" w:eastAsia="宋体"/>
          <w:sz w:val="28"/>
        </w:rPr>
        <w:t>成交供应商须</w:t>
      </w:r>
      <w:r>
        <w:rPr>
          <w:rFonts w:ascii="宋体" w:hAnsi="宋体" w:cs="宋体" w:eastAsia="宋体"/>
          <w:sz w:val="28"/>
        </w:rPr>
        <w:t>保证免费质保期至少为（</w:t>
      </w:r>
      <w:r>
        <w:rPr>
          <w:rFonts w:ascii="calibri" w:hAnsi="calibri" w:cs="calibri" w:eastAsia="calibri"/>
          <w:sz w:val="28"/>
        </w:rPr>
        <w:t>60</w:t>
      </w:r>
      <w:r>
        <w:rPr>
          <w:rFonts w:ascii="宋体" w:hAnsi="宋体" w:cs="宋体" w:eastAsia="宋体"/>
          <w:sz w:val="28"/>
        </w:rPr>
        <w:t>）个月。</w:t>
      </w:r>
      <w:r>
        <w:rPr>
          <w:rFonts w:ascii="宋体" w:hAnsi="宋体" w:cs="宋体" w:eastAsia="宋体"/>
          <w:sz w:val="28"/>
        </w:rPr>
        <w:t>成交供应商</w:t>
      </w:r>
      <w:r>
        <w:rPr>
          <w:rFonts w:ascii="宋体" w:hAnsi="宋体" w:cs="宋体" w:eastAsia="宋体"/>
          <w:sz w:val="28"/>
        </w:rPr>
        <w:t>在接到</w:t>
      </w:r>
      <w:r>
        <w:rPr>
          <w:rFonts w:ascii="宋体" w:hAnsi="宋体" w:cs="宋体" w:eastAsia="宋体"/>
          <w:sz w:val="28"/>
        </w:rPr>
        <w:t>采购人</w:t>
      </w:r>
      <w:r>
        <w:rPr>
          <w:rFonts w:ascii="宋体" w:hAnsi="宋体" w:cs="宋体" w:eastAsia="宋体"/>
          <w:sz w:val="28"/>
        </w:rPr>
        <w:t>设备故障电话通知起，由于故障而无法工作超过</w:t>
      </w:r>
      <w:r>
        <w:rPr>
          <w:rFonts w:ascii="calibri" w:hAnsi="calibri" w:cs="calibri" w:eastAsia="calibri"/>
          <w:sz w:val="28"/>
        </w:rPr>
        <w:t>3</w:t>
      </w:r>
      <w:r>
        <w:rPr>
          <w:rFonts w:ascii="宋体" w:hAnsi="宋体" w:cs="宋体" w:eastAsia="宋体"/>
          <w:sz w:val="28"/>
        </w:rPr>
        <w:t>天，质保期自动延长相应天数（延长天数从故障电话通知之日开始计算）。</w:t>
      </w:r>
    </w:p>
    <w:p>
      <w:pPr>
        <w:pStyle w:val="null3"/>
        <w:ind w:firstLine="560"/>
        <w:jc w:val="both"/>
      </w:pPr>
      <w:r>
        <w:rPr>
          <w:rFonts w:ascii="宋体" w:hAnsi="宋体" w:cs="宋体" w:eastAsia="宋体"/>
          <w:sz w:val="28"/>
        </w:rPr>
        <w:t>（四）质保期内货物一旦出现故障，</w:t>
      </w:r>
      <w:r>
        <w:rPr>
          <w:rFonts w:ascii="宋体" w:hAnsi="宋体" w:cs="宋体" w:eastAsia="宋体"/>
          <w:sz w:val="28"/>
        </w:rPr>
        <w:t>成交供应商</w:t>
      </w:r>
      <w:r>
        <w:rPr>
          <w:rFonts w:ascii="宋体" w:hAnsi="宋体" w:cs="宋体" w:eastAsia="宋体"/>
          <w:sz w:val="28"/>
        </w:rPr>
        <w:t>响应时间不超过</w:t>
      </w:r>
      <w:r>
        <w:rPr>
          <w:rFonts w:ascii="calibri" w:hAnsi="calibri" w:cs="calibri" w:eastAsia="calibri"/>
          <w:sz w:val="28"/>
        </w:rPr>
        <w:t>2</w:t>
      </w:r>
      <w:r>
        <w:rPr>
          <w:rFonts w:ascii="宋体" w:hAnsi="宋体" w:cs="宋体" w:eastAsia="宋体"/>
          <w:sz w:val="28"/>
        </w:rPr>
        <w:t>小时，检修人员在</w:t>
      </w:r>
      <w:r>
        <w:rPr>
          <w:rFonts w:ascii="calibri" w:hAnsi="calibri" w:cs="calibri" w:eastAsia="calibri"/>
          <w:sz w:val="28"/>
        </w:rPr>
        <w:t>24</w:t>
      </w:r>
      <w:r>
        <w:rPr>
          <w:rFonts w:ascii="宋体" w:hAnsi="宋体" w:cs="宋体" w:eastAsia="宋体"/>
          <w:sz w:val="28"/>
        </w:rPr>
        <w:t>小时</w:t>
      </w:r>
      <w:r>
        <w:rPr>
          <w:rFonts w:ascii="宋体" w:hAnsi="宋体" w:cs="宋体" w:eastAsia="宋体"/>
          <w:sz w:val="28"/>
        </w:rPr>
        <w:t>内到设备安装地点及时排除故障，技术人员在</w:t>
      </w:r>
      <w:r>
        <w:rPr>
          <w:rFonts w:ascii="calibri" w:hAnsi="calibri" w:cs="calibri" w:eastAsia="calibri"/>
          <w:sz w:val="28"/>
        </w:rPr>
        <w:t>12</w:t>
      </w:r>
      <w:r>
        <w:rPr>
          <w:rFonts w:ascii="宋体" w:hAnsi="宋体" w:cs="宋体" w:eastAsia="宋体"/>
          <w:sz w:val="28"/>
        </w:rPr>
        <w:t>小时内完成系统恢复正常使用；如果无法恢复的，</w:t>
      </w:r>
      <w:r>
        <w:rPr>
          <w:rFonts w:ascii="宋体" w:hAnsi="宋体" w:cs="宋体" w:eastAsia="宋体"/>
          <w:sz w:val="28"/>
        </w:rPr>
        <w:t>成交供应商</w:t>
      </w:r>
      <w:r>
        <w:rPr>
          <w:rFonts w:ascii="宋体" w:hAnsi="宋体" w:cs="宋体" w:eastAsia="宋体"/>
          <w:sz w:val="28"/>
        </w:rPr>
        <w:t>应负责联系厂家技术人员到现场排除故障，厂方人员接到报修后，响应时间不超过</w:t>
      </w:r>
      <w:r>
        <w:rPr>
          <w:rFonts w:ascii="calibri" w:hAnsi="calibri" w:cs="calibri" w:eastAsia="calibri"/>
          <w:sz w:val="28"/>
        </w:rPr>
        <w:t>24</w:t>
      </w:r>
      <w:r>
        <w:rPr>
          <w:rFonts w:ascii="宋体" w:hAnsi="宋体" w:cs="宋体" w:eastAsia="宋体"/>
          <w:sz w:val="28"/>
        </w:rPr>
        <w:t>小时；技术人员在</w:t>
      </w:r>
      <w:r>
        <w:rPr>
          <w:rFonts w:ascii="calibri" w:hAnsi="calibri" w:cs="calibri" w:eastAsia="calibri"/>
          <w:sz w:val="28"/>
        </w:rPr>
        <w:t>72</w:t>
      </w:r>
      <w:r>
        <w:rPr>
          <w:rFonts w:ascii="宋体" w:hAnsi="宋体" w:cs="宋体" w:eastAsia="宋体"/>
          <w:sz w:val="28"/>
        </w:rPr>
        <w:t>小时内不能排除故障时，</w:t>
      </w:r>
      <w:r>
        <w:rPr>
          <w:rFonts w:ascii="宋体" w:hAnsi="宋体" w:cs="宋体" w:eastAsia="宋体"/>
          <w:sz w:val="28"/>
        </w:rPr>
        <w:t>成交供应商</w:t>
      </w:r>
      <w:r>
        <w:rPr>
          <w:rFonts w:ascii="宋体" w:hAnsi="宋体" w:cs="宋体" w:eastAsia="宋体"/>
          <w:sz w:val="28"/>
        </w:rPr>
        <w:t>应提供与该系统规格、技术指标相一致的备品，并在</w:t>
      </w:r>
      <w:r>
        <w:rPr>
          <w:rFonts w:ascii="宋体" w:hAnsi="宋体" w:cs="宋体" w:eastAsia="宋体"/>
          <w:sz w:val="28"/>
        </w:rPr>
        <w:t>采购人规定的时间内</w:t>
      </w:r>
      <w:r>
        <w:rPr>
          <w:rFonts w:ascii="宋体" w:hAnsi="宋体" w:cs="宋体" w:eastAsia="宋体"/>
          <w:sz w:val="28"/>
        </w:rPr>
        <w:t>完成系统更换及指导工作，以保证实验教学正常运行。</w:t>
      </w:r>
    </w:p>
    <w:p>
      <w:pPr>
        <w:pStyle w:val="null3"/>
        <w:ind w:firstLine="560"/>
        <w:jc w:val="both"/>
      </w:pPr>
      <w:r>
        <w:rPr>
          <w:rFonts w:ascii="宋体" w:hAnsi="宋体" w:cs="宋体" w:eastAsia="宋体"/>
          <w:sz w:val="28"/>
        </w:rPr>
        <w:t>（五）质保期结束后，</w:t>
      </w:r>
      <w:r>
        <w:rPr>
          <w:rFonts w:ascii="宋体" w:hAnsi="宋体" w:cs="宋体" w:eastAsia="宋体"/>
          <w:sz w:val="28"/>
        </w:rPr>
        <w:t>成交供应商</w:t>
      </w:r>
      <w:r>
        <w:rPr>
          <w:rFonts w:ascii="宋体" w:hAnsi="宋体" w:cs="宋体" w:eastAsia="宋体"/>
          <w:sz w:val="28"/>
        </w:rPr>
        <w:t>需提供终身应用咨询及技术帮助；系统一旦出现故障，</w:t>
      </w:r>
      <w:r>
        <w:rPr>
          <w:rFonts w:ascii="宋体" w:hAnsi="宋体" w:cs="宋体" w:eastAsia="宋体"/>
          <w:sz w:val="28"/>
        </w:rPr>
        <w:t>成交供应商</w:t>
      </w:r>
      <w:r>
        <w:rPr>
          <w:rFonts w:ascii="宋体" w:hAnsi="宋体" w:cs="宋体" w:eastAsia="宋体"/>
          <w:sz w:val="28"/>
        </w:rPr>
        <w:t>需协助采购人对系统进行维修，远程不能解决的，</w:t>
      </w:r>
      <w:r>
        <w:rPr>
          <w:rFonts w:ascii="宋体" w:hAnsi="宋体" w:cs="宋体" w:eastAsia="宋体"/>
          <w:sz w:val="28"/>
        </w:rPr>
        <w:t>成交供应商</w:t>
      </w:r>
      <w:r>
        <w:rPr>
          <w:rFonts w:ascii="宋体" w:hAnsi="宋体" w:cs="宋体" w:eastAsia="宋体"/>
          <w:sz w:val="28"/>
        </w:rPr>
        <w:t>需派出技术人员</w:t>
      </w:r>
      <w:r>
        <w:rPr>
          <w:rFonts w:ascii="calibri" w:hAnsi="calibri" w:cs="calibri" w:eastAsia="calibri"/>
          <w:sz w:val="28"/>
        </w:rPr>
        <w:t>2</w:t>
      </w:r>
      <w:r>
        <w:rPr>
          <w:rFonts w:ascii="宋体" w:hAnsi="宋体" w:cs="宋体" w:eastAsia="宋体"/>
          <w:sz w:val="28"/>
        </w:rPr>
        <w:t>个工作日内到现场进行维修，只收取人员差旅费。</w:t>
      </w:r>
    </w:p>
    <w:p>
      <w:pPr>
        <w:pStyle w:val="null3"/>
        <w:jc w:val="both"/>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合同签订后30个工作日内。</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泉州师范学院主校区（泉州市丰泽区东海大街398号）</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验收合格、交付使用。</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出厂检验：成交供应商将提供设备、安装材料、工具、软件包和文件的发货清单和计划，发货计划应经采购人认可后实施。成交供应商负责所提供产品的出厂检验，保证产品原产地和技术指标的真实性、完整性、合法性；成交供应商发货前应将清单及发货流程发送给采购人，经采购人确认同意后发货；成交供应商需在采购人指定地点进行统一交货，并向采购人提供货物制造厂的出厂检验报告、质量合格证书。</w:t>
            </w:r>
          </w:p>
          <w:p>
            <w:pPr>
              <w:pStyle w:val="null3"/>
            </w:pPr>
            <w:r>
              <w:rPr/>
              <w:t>2、期次2，说明：初步验收：货物到达交货地点后30天内完成。采购人在设备到货后，将按合同规定对所交货物进行清点、核对和商检，对货物基本数量与质量进行初步验收（但不作为最终合格的保证），该验收应达到合同规定的要求。初步验收不合格的，采购人有权选择退或换货处理：选择换货处理的，成交供应商需在收到换货通知日起30个工作日内交付合格的新品，逾期未处理的，将予以退货，由此产生的费用和采购人的损失，由成交供应商承担；选择退货处理的，成交供应商需在收到退货通知之日起10个工作日内将货物自行运回，如逾期投标人未退回货物，采购人有权将货物退回成交供应商法定地址，由此产生的一切费用由成交供应商承担。</w:t>
            </w:r>
          </w:p>
          <w:p>
            <w:pPr>
              <w:pStyle w:val="null3"/>
            </w:pPr>
            <w:r>
              <w:rPr/>
              <w:t>3、期次3，说明：最终验收：由成交供应商按照合同约定的具体数量、地点及时间运送到安装现场进行安装，在安装、调试与试运行无问题之后30个工作日内完成最终验收（因成交供应商原因导致无法验收的情况除外），成交供应商对设备使用与运行、功能完整性与稳定性、质量与标准等方面进行最终验收，验收合格后，签发验收单；验收不合格，采购人有权选择通知整改或退换货处理：①选择通知整改处理的，成交供应商需在收到整改通知日起30个工作日内完成整改，逾期未处理，将按退货处理，由此产生的费用和采购人的损失，由成交供应商承担；②选择换货处理的，成交供应商需在收到换货通知日起30个工作日内交付合格的新品，逾期未处理，将按退货处理，由此产生的费用和采购人的损失，由成交供应商承担；③选择退货处理的，成交供应商需在收到退货通知之日起10个工作日内将货物自行运回，如逾期成交供应商未退回货物，采购人有权将货物退回成交供应商法定地址，由此产生的一切费用由成交供应商承担。</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若中标人为中小企业，在签订合同且中标人提交银行、保险公司等金融机构出具的预付款保函或其他担保措施后，保函金额不低于合同总金额的30%，保函有效期不低于24个月，采购人收到保函后向中标人支付预付款，如中标人收到预付款后，未能按照合同约定履行合同义务的，则采购人将通过保函收回已支付的预付款），达到付款条件起15日内，支付合同总金额的30.00%</w:t>
            </w:r>
          </w:p>
          <w:p>
            <w:pPr>
              <w:pStyle w:val="null3"/>
            </w:pPr>
            <w:r>
              <w:rPr/>
              <w:t>2、若中标人为大型企业，不支付预付款,则在货物最终验收合格，且采购人收到中标人提供的发票等材料后，30日内向中标人一次性支付本项目100%合同款项。若采购人已预付合同总金额30%的款项，则本项目经采购人最终验收合格，且采购人收到中标人提供的发票等材料后，达到付款条件起15日内，支付合同总金额的70.00%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本采购包履约保证金为合同金额的2.0%</w:t>
            </w:r>
          </w:p>
          <w:p>
            <w:pPr>
              <w:pStyle w:val="null3"/>
            </w:pPr>
            <w:r>
              <w:rPr/>
              <w:t>说明：中标人与采购人签订合同前，应按合同总金额的 2 %（中小微企业为1.5 %）向采购人提交履约保证金，履约保证金在成交供应商供应的货物全部验收合格、合同约定事项全部履行完毕且无未了事项后，30日内，未出现问题时一次性无息退还。</w:t>
            </w:r>
          </w:p>
        </w:tc>
      </w:tr>
    </w:tbl>
    <w:p>
      <w:pPr>
        <w:pStyle w:val="null3"/>
        <w:jc w:val="left"/>
      </w:pPr>
      <w:r>
        <w:rPr/>
        <w:t>其他商务要求：</w:t>
      </w:r>
    </w:p>
    <w:p>
      <w:pPr>
        <w:pStyle w:val="null3"/>
        <w:ind w:firstLine="480"/>
        <w:jc w:val="left"/>
      </w:pPr>
      <w:r>
        <w:rPr/>
        <w:t>无</w:t>
      </w:r>
    </w:p>
    <w:p>
      <w:pPr>
        <w:pStyle w:val="null3"/>
        <w:jc w:val="both"/>
        <w:outlineLvl w:val="2"/>
      </w:pPr>
      <w:r>
        <w:rPr>
          <w:sz w:val="28"/>
          <w:b/>
        </w:rPr>
        <w:t>四、其他事项</w:t>
      </w:r>
    </w:p>
    <w:p>
      <w:pPr>
        <w:pStyle w:val="null3"/>
        <w:jc w:val="left"/>
      </w:pPr>
      <w:r>
        <w:rPr/>
        <w:t>1、谈判文件中所要求的货物，供 应商在响应文件中必须详细标明具体品 牌、型号及对应的详细配置说明，否则其响应文件视为无效。 2、在竞争性谈判过程中，若谈判小组未增加采购需求，则合格供 应商每个品目的最终报价不得高于首次报价，否则其最终报价视为无效。 3、采购人在确认成交结果前，可自行对成交候选供 应商提供的符合性条款中涉及的证明资料（证书、报告等）原件进行复核，成交候选供 应商无法提供原件复核的，按提供虚假材料谋取中标或成交的情形处理，该供 应商提交的响应文件无效，本项目顺延确定成交候选供 应商或重新开展采购活动。 4、采购人应当自成交通知书发出之日起20日内，按照采购文件和成交供 应商响应文件的规定，与成交供 应商签订合同，并在福建省政府采购网（泉州市）上发布合同公告。 5、采购人在对项目验收完成后，应当将验收情况材料送至泉州市政府采购中心。 6、质疑函的格式应当参照财政部官方网站提供的质疑函范本（http://gks.mof.gov.cn/ztztz/zhengfucaigouguanli/201802/t20180201_2804589.htm），针对同一采购程序环节的质疑应当在法定质疑期内一次性提出，并附上供 应商在福建省政府采购网（泉州市）已依法获取采购文件的截图（须包含获取时间），否则泉州市政府采购中心将不予受理。 7、资格证明文件资料要求中“财务状况报告”，在当前年度4月30日前开标的项目，提供财务报告的，可提供当前年度前年的财务报告。 提供资信证明的，可不提供开户（基本存款账户）许可证复印件。 8、除银行、保险、石油石化、电力、电信等行业外，不接受其他行业法人的分支机构等不能独立承担民事责任的主体参与谈判（磋商、协商）。 9、关于中标（成交）供 应商申请融资业务的说明： （1）凡参与政府采购并依法取得政府采购合同的供 应商，均可使用政府采购合同向福建省政府采购网发布的政府采购合同融资业务信息的银行业金融机构申请融资，可在“政采贷”模块进行具体操作； （2）企业申请所需提交的材料可登录“福建省政府采购网”查询； （3）融资主要条件：①担保条件：除法定代表人或实际控制人担保外，如融资金额未超过政府采购合同金额的，银行不要求企业供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 （4）上述事宜详见http://cz.fjzfcg.gov.cn/。 10、强制节能、环境标志产品在响应文件中必须提供国家认可的认证机构出具的在有效期内的认证证书；非强制节能、环境标志产品未提供认证证书的，不给予价格扣除。</w:t>
      </w:r>
    </w:p>
    <w:p>
      <w:pPr>
        <w:pStyle w:val="null3"/>
      </w:pPr>
      <w:r>
        <w:rPr/>
        <w:t xml:space="preserve"> </w:t>
        <w:br/>
        <w:br w:type="page"/>
      </w:r>
    </w:p>
    <w:p>
      <w:pPr>
        <w:pStyle w:val="null3"/>
        <w:jc w:val="center"/>
        <w:outlineLvl w:val="1"/>
      </w:pPr>
      <w:r>
        <w:rPr>
          <w:sz w:val="36"/>
          <w:b/>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1"/>
      </w:pPr>
      <w:r>
        <w:rPr>
          <w:sz w:val="36"/>
          <w:b/>
        </w:rPr>
        <w:t>福建省政府采购项目竞争性谈判</w:t>
      </w:r>
    </w:p>
    <w:p>
      <w:pPr>
        <w:pStyle w:val="null3"/>
        <w:jc w:val="center"/>
        <w:outlineLvl w:val="2"/>
      </w:pPr>
      <w:r>
        <w:rPr>
          <w:sz w:val="28"/>
          <w:b/>
        </w:rPr>
        <w:t>响应文件</w:t>
      </w:r>
    </w:p>
    <w:p>
      <w:pPr>
        <w:pStyle w:val="null3"/>
        <w:jc w:val="center"/>
        <w:outlineLvl w:val="2"/>
      </w:pPr>
      <w:r>
        <w:rPr>
          <w:sz w:val="28"/>
          <w:b/>
        </w:rPr>
        <w:t>（首次）</w:t>
      </w:r>
      <w:r>
        <w:br/>
      </w:r>
      <w:r>
        <w:br/>
      </w:r>
      <w:r>
        <w:br/>
      </w:r>
    </w:p>
    <w:p>
      <w:pPr>
        <w:pStyle w:val="null3"/>
        <w:jc w:val="center"/>
        <w:outlineLvl w:val="2"/>
      </w:pPr>
      <w:r>
        <w:rPr>
          <w:sz w:val="28"/>
          <w:b/>
        </w:rPr>
        <w:t>项目名称：</w:t>
      </w:r>
    </w:p>
    <w:p>
      <w:pPr>
        <w:pStyle w:val="null3"/>
        <w:jc w:val="center"/>
        <w:outlineLvl w:val="2"/>
      </w:pPr>
      <w:r>
        <w:rPr>
          <w:sz w:val="28"/>
          <w:b/>
        </w:rPr>
        <w:t>项目编号：</w:t>
      </w:r>
    </w:p>
    <w:p>
      <w:pPr>
        <w:pStyle w:val="null3"/>
        <w:jc w:val="center"/>
        <w:outlineLvl w:val="2"/>
      </w:pPr>
      <w:r>
        <w:rPr>
          <w:sz w:val="28"/>
          <w:b/>
        </w:rPr>
        <w:t>采购包:</w:t>
      </w:r>
      <w:r>
        <w:br/>
      </w:r>
      <w:r>
        <w:br/>
      </w:r>
      <w:r>
        <w:br/>
      </w:r>
    </w:p>
    <w:p>
      <w:pPr>
        <w:pStyle w:val="null3"/>
        <w:jc w:val="center"/>
        <w:outlineLvl w:val="2"/>
      </w:pPr>
      <w:r>
        <w:rPr>
          <w:sz w:val="28"/>
          <w:b/>
        </w:rPr>
        <w:t>供应商名称：</w:t>
      </w:r>
    </w:p>
    <w:p>
      <w:pPr>
        <w:pStyle w:val="null3"/>
        <w:jc w:val="center"/>
        <w:outlineLvl w:val="2"/>
      </w:pPr>
      <w:r>
        <w:rPr>
          <w:sz w:val="28"/>
          <w:b/>
        </w:rPr>
        <w:t>日 期：</w:t>
      </w:r>
    </w:p>
    <w:p>
      <w:pPr>
        <w:pStyle w:val="null3"/>
      </w:pPr>
      <w:r>
        <w:rPr/>
        <w:t xml:space="preserve"> </w:t>
        <w:br/>
        <w:br w:type="page"/>
      </w:r>
    </w:p>
    <w:p>
      <w:pPr>
        <w:pStyle w:val="null3"/>
        <w:jc w:val="center"/>
        <w:outlineLvl w:val="2"/>
      </w:pPr>
      <w:r>
        <w:rPr>
          <w:sz w:val="28"/>
          <w:b/>
        </w:rPr>
        <w:t>目录</w:t>
      </w:r>
    </w:p>
    <w:p>
      <w:pPr>
        <w:pStyle w:val="null3"/>
        <w:ind w:firstLine="480"/>
        <w:jc w:val="left"/>
      </w:pPr>
      <w:r>
        <w:rPr/>
        <w:t>附件1：谈判响应声明</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谈判响应声明</w:t>
      </w:r>
    </w:p>
    <w:p>
      <w:pPr>
        <w:pStyle w:val="null3"/>
        <w:ind w:firstLine="480"/>
        <w:jc w:val="left"/>
      </w:pPr>
      <w:r>
        <w:rPr/>
        <w:t>致：(采购人或采购代理机构)</w:t>
      </w:r>
    </w:p>
    <w:p>
      <w:pPr>
        <w:pStyle w:val="null3"/>
        <w:ind w:firstLine="480"/>
        <w:jc w:val="left"/>
      </w:pPr>
      <w:r>
        <w:rPr/>
        <w:t>1.根据贵方为</w:t>
      </w:r>
      <w:r>
        <w:rPr/>
        <w:t xml:space="preserve"> 项目（项目编号）:</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 xml:space="preserve"> 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附件2 报价一览表</w:t>
      </w:r>
    </w:p>
    <w:p>
      <w:pPr>
        <w:pStyle w:val="null3"/>
        <w:ind w:firstLine="480"/>
        <w:jc w:val="left"/>
      </w:pPr>
      <w:r>
        <w:rPr/>
        <w:t>供应商名称：</w:t>
      </w:r>
      <w:r>
        <w:rPr>
          <w:u w:val="single"/>
        </w:rPr>
        <w:t>（全称加盖单位公章）</w:t>
      </w:r>
      <w:r>
        <w:rPr/>
        <w:t xml:space="preserve"> 项目编号∶</w:t>
      </w:r>
      <w:r>
        <w:rPr>
          <w:u w:val="single"/>
        </w:rPr>
        <w:t xml:space="preserve">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谈判保证金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（签字）</w:t>
      </w:r>
    </w:p>
    <w:p>
      <w:pPr>
        <w:pStyle w:val="null3"/>
      </w:pPr>
      <w:r>
        <w:rPr/>
        <w:t xml:space="preserve"> </w:t>
        <w:br/>
        <w:br w:type="page"/>
      </w:r>
    </w:p>
    <w:p>
      <w:pPr>
        <w:pStyle w:val="null3"/>
        <w:jc w:val="center"/>
        <w:outlineLvl w:val="2"/>
      </w:pPr>
      <w:r>
        <w:rPr>
          <w:sz w:val="28"/>
          <w:b/>
        </w:rPr>
        <w:t>附件2-1 详细报价书</w:t>
      </w:r>
    </w:p>
    <w:p>
      <w:pPr>
        <w:pStyle w:val="null3"/>
        <w:ind w:firstLine="480"/>
        <w:jc w:val="left"/>
      </w:pPr>
      <w:r>
        <w:rPr/>
        <w:t>说明：</w:t>
      </w:r>
    </w:p>
    <w:p>
      <w:pPr>
        <w:pStyle w:val="null3"/>
        <w:ind w:firstLine="480"/>
        <w:jc w:val="left"/>
      </w:pPr>
      <w:r>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 资格证明文件</w:t>
      </w:r>
    </w:p>
    <w:p>
      <w:pPr>
        <w:pStyle w:val="null3"/>
        <w:jc w:val="center"/>
        <w:outlineLvl w:val="2"/>
      </w:pPr>
      <w:r>
        <w:rPr>
          <w:sz w:val="28"/>
          <w:b/>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 xml:space="preserve"> 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 xml:space="preserve"> 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r>
        <w:rPr/>
        <w:t xml:space="preserve"> </w:t>
        <w:br/>
        <w:br w:type="page"/>
      </w:r>
    </w:p>
    <w:p>
      <w:pPr>
        <w:pStyle w:val="null3"/>
        <w:jc w:val="center"/>
        <w:outlineLvl w:val="2"/>
      </w:pPr>
      <w:r>
        <w:rPr>
          <w:sz w:val="28"/>
          <w:b/>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（）供应商提供谈判担保函的</w:t>
      </w:r>
    </w:p>
    <w:p>
      <w:pPr>
        <w:pStyle w:val="null3"/>
        <w:ind w:firstLine="480"/>
        <w:jc w:val="left"/>
      </w:pPr>
      <w:r>
        <w:rPr/>
        <w:t>现附上由财政部门认可的政府采购专业担保机构：</w:t>
      </w:r>
      <w:r>
        <w:rPr>
          <w:u w:val="single"/>
        </w:rPr>
        <w:t>（填写“担保机构全称”）</w:t>
      </w:r>
      <w:r>
        <w:rPr/>
        <w:t>出具的谈判担保函复印件，上述证明材料真实有效，否则我方负全部责任。</w:t>
      </w:r>
      <w:r>
        <w:br/>
      </w:r>
      <w:r>
        <w:br/>
      </w:r>
    </w:p>
    <w:p>
      <w:pPr>
        <w:pStyle w:val="null3"/>
        <w:ind w:firstLine="480"/>
        <w:jc w:val="left"/>
      </w:pPr>
      <w:r>
        <w:rPr/>
        <w:t>※注意事项：</w:t>
      </w:r>
    </w:p>
    <w:p>
      <w:pPr>
        <w:pStyle w:val="null3"/>
        <w:ind w:firstLine="480"/>
        <w:jc w:val="left"/>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b/>
        </w:rPr>
        <w:t>※无法按照本格式注意事项第2.1、2.2条规定提供财务报告复印件的供应商，应按照本格式注意事项的要求选择提供资信证明复印件或谈判担保函复印件。</w:t>
      </w:r>
    </w:p>
    <w:p>
      <w:pPr>
        <w:pStyle w:val="null3"/>
        <w:ind w:firstLine="480"/>
        <w:jc w:val="left"/>
      </w:pPr>
      <w:r>
        <w:rPr/>
        <w:t>3、“财政部门认可的政府采购专业担保机构”应符合《财政部关于开展政府采购信用担保试点工作方案》（财库[2011]124号）的规定。</w:t>
      </w:r>
    </w:p>
    <w:p>
      <w:pPr>
        <w:pStyle w:val="null3"/>
        <w:ind w:firstLine="480"/>
        <w:jc w:val="left"/>
      </w:pPr>
      <w:r>
        <w:rPr/>
        <w:t>4、供应商提供的相应证明材料复印件均应符合：内容完整、清晰、整洁，并由供应商加盖其单位公章。</w:t>
      </w:r>
    </w:p>
    <w:p>
      <w:pPr>
        <w:pStyle w:val="null3"/>
        <w:ind w:firstLine="480"/>
        <w:jc w:val="left"/>
      </w:pPr>
      <w:r>
        <w:rPr/>
        <w:t>5、对于接受联合体形式的磋商且供应商是联合体的，则联合体各成员都应当提交本资格证明文件。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附件3-8 具备履行合同所必需设备和专业技术能力证明材料</w:t>
      </w:r>
    </w:p>
    <w:p>
      <w:pPr>
        <w:pStyle w:val="null3"/>
        <w:jc w:val="center"/>
        <w:outlineLvl w:val="1"/>
      </w:pPr>
      <w:r>
        <w:rPr>
          <w:sz w:val="36"/>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t xml:space="preserve"> </w:t>
        <w:br/>
        <w:br w:type="page"/>
      </w:r>
    </w:p>
    <w:p>
      <w:pPr>
        <w:pStyle w:val="null3"/>
        <w:jc w:val="center"/>
        <w:outlineLvl w:val="2"/>
      </w:pPr>
      <w:r>
        <w:rPr>
          <w:sz w:val="28"/>
          <w:b/>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pPr>
      <w:r>
        <w:rPr/>
        <w:t xml:space="preserve"> </w:t>
        <w:br/>
        <w:br w:type="page"/>
      </w:r>
    </w:p>
    <w:p>
      <w:pPr>
        <w:pStyle w:val="null3"/>
        <w:jc w:val="center"/>
        <w:outlineLvl w:val="2"/>
      </w:pPr>
      <w:r>
        <w:rPr>
          <w:sz w:val="28"/>
          <w:b/>
        </w:rPr>
        <w:t>附件3-13 其它资格证明文件</w:t>
      </w:r>
    </w:p>
    <w:p>
      <w:pPr>
        <w:pStyle w:val="null3"/>
        <w:jc w:val="center"/>
        <w:outlineLvl w:val="1"/>
      </w:pPr>
      <w:r>
        <w:rPr>
          <w:sz w:val="36"/>
          <w:b/>
        </w:rPr>
        <w:t>（若有）</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pPr>
      <w:r>
        <w:rPr/>
        <w:t xml:space="preserve"> </w:t>
        <w:br/>
        <w:br w:type="page"/>
      </w:r>
    </w:p>
    <w:p>
      <w:pPr>
        <w:pStyle w:val="null3"/>
        <w:jc w:val="center"/>
        <w:outlineLvl w:val="2"/>
      </w:pPr>
      <w:r>
        <w:rPr>
          <w:sz w:val="28"/>
          <w:b/>
        </w:rPr>
        <w:t>附件5：技术、服务和商务响应表</w:t>
      </w:r>
    </w:p>
    <w:p>
      <w:pPr>
        <w:pStyle w:val="null3"/>
        <w:jc w:val="center"/>
        <w:outlineLvl w:val="2"/>
      </w:pPr>
      <w:r>
        <w:rPr>
          <w:sz w:val="28"/>
          <w:b/>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2"/>
      </w:pPr>
      <w:r>
        <w:rPr>
          <w:sz w:val="28"/>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ind w:firstLine="480"/>
        <w:jc w:val="center"/>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outlineLvl w:val="2"/>
      </w:pPr>
      <w:r>
        <w:rPr>
          <w:sz w:val="28"/>
          <w:b/>
        </w:rPr>
        <w:t>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center"/>
      </w:pPr>
      <w:r>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r>
        <w:rPr/>
        <w:t xml:space="preserve"> </w:t>
        <w:br/>
        <w:br w:type="page"/>
      </w:r>
    </w:p>
    <w:p>
      <w:pPr>
        <w:pStyle w:val="null3"/>
        <w:jc w:val="center"/>
        <w:outlineLvl w:val="2"/>
      </w:pPr>
      <w:r>
        <w:rPr>
          <w:sz w:val="28"/>
          <w:b/>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r>
        <w:rPr/>
        <w:t xml:space="preserve"> </w:t>
        <w:br/>
        <w:br w:type="page"/>
      </w:r>
    </w:p>
    <w:p>
      <w:pPr>
        <w:pStyle w:val="null3"/>
        <w:jc w:val="center"/>
        <w:outlineLvl w:val="2"/>
      </w:pPr>
      <w:r>
        <w:rPr>
          <w:sz w:val="28"/>
          <w:b/>
        </w:rPr>
        <w:t>附件7-2优先类节能产品、环境标志产品价格扣除证明材料（若有）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tc>
        <w:tc>
          <w:tcPr>
            <w:tcW w:type="dxa" w:w="7476"/>
            <w:gridSpan w:val="6"/>
          </w:tcPr>
          <w:p>
            <w:pPr>
              <w:pStyle w:val="null3"/>
              <w:jc w:val="center"/>
            </w:pPr>
            <w:r>
              <w:rPr/>
              <w:t>本采购包内属于节能、环境标志产品的报价情况</w:t>
            </w:r>
          </w:p>
        </w:tc>
      </w:tr>
      <w:tr>
        <w:tc>
          <w:tcPr>
            <w:tcW w:type="dxa" w:w="831"/>
          </w:tcPr>
          <w:p>
            <w:pPr>
              <w:pStyle w:val="null3"/>
              <w:jc w:val="center"/>
            </w:pPr>
            <w:r>
              <w:rPr/>
              <w:t>采购包</w:t>
            </w:r>
          </w:p>
          <w:p>
            <w:pPr>
              <w:pStyle w:val="null3"/>
              <w:jc w:val="center"/>
            </w:pP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w:t>
            </w:r>
          </w:p>
        </w:tc>
        <w:tc>
          <w:tcPr>
            <w:tcW w:type="dxa" w:w="1661"/>
          </w:tcPr>
          <w:p>
            <w:pPr>
              <w:pStyle w:val="null3"/>
              <w:jc w:val="center"/>
            </w:pPr>
            <w:r>
              <w:rPr/>
              <w:t>数量</w:t>
            </w:r>
          </w:p>
        </w:tc>
        <w:tc>
          <w:tcPr>
            <w:tcW w:type="dxa" w:w="831"/>
          </w:tcPr>
          <w:p>
            <w:pPr>
              <w:pStyle w:val="null3"/>
              <w:jc w:val="center"/>
            </w:pPr>
            <w:r>
              <w:rPr/>
              <w:t>最后报价总价</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p>
        </w:tc>
        <w:tc>
          <w:tcPr>
            <w:tcW w:type="dxa" w:w="1661"/>
          </w:tcPr>
          <w:p/>
        </w:tc>
        <w:tc>
          <w:tcPr>
            <w:tcW w:type="dxa" w:w="1661"/>
          </w:tcPr>
          <w:p/>
        </w:tc>
        <w:tc>
          <w:tcPr>
            <w:tcW w:type="dxa" w:w="831"/>
          </w:tcPr>
          <w:p/>
        </w:tc>
        <w:tc>
          <w:tcPr>
            <w:tcW w:type="dxa" w:w="831"/>
          </w:tcPr>
          <w:p/>
        </w:tc>
      </w:tr>
      <w:tr>
        <w:tc>
          <w:tcPr>
            <w:tcW w:type="dxa" w:w="831"/>
            <w:vMerge/>
          </w:tcPr>
          <w:p/>
        </w:tc>
        <w:tc>
          <w:tcPr>
            <w:tcW w:type="dxa" w:w="831"/>
          </w:tcPr>
          <w:p>
            <w:pPr>
              <w:pStyle w:val="null3"/>
              <w:jc w:val="center"/>
            </w:pPr>
            <w:r>
              <w:rPr/>
              <w:t>...</w:t>
            </w:r>
          </w:p>
        </w:tc>
        <w:tc>
          <w:tcPr>
            <w:tcW w:type="dxa" w:w="1661"/>
          </w:tcPr>
          <w:p>
            <w:pPr>
              <w:pStyle w:val="null3"/>
              <w:jc w:val="left"/>
            </w:pPr>
          </w:p>
        </w:tc>
        <w:tc>
          <w:tcPr>
            <w:tcW w:type="dxa" w:w="1661"/>
          </w:tcPr>
          <w:p/>
        </w:tc>
        <w:tc>
          <w:tcPr>
            <w:tcW w:type="dxa" w:w="1661"/>
          </w:tcPr>
          <w:p/>
        </w:tc>
        <w:tc>
          <w:tcPr>
            <w:tcW w:type="dxa" w:w="831"/>
          </w:tcPr>
          <w:p/>
        </w:tc>
        <w:tc>
          <w:tcPr>
            <w:tcW w:type="dxa" w:w="831"/>
          </w:tcPr>
          <w:p/>
        </w:tc>
      </w:tr>
      <w:tr>
        <w:tc>
          <w:tcPr>
            <w:tcW w:type="dxa" w:w="831"/>
          </w:tcPr>
          <w:p>
            <w:pPr>
              <w:pStyle w:val="null3"/>
              <w:jc w:val="center"/>
            </w:pPr>
            <w:r>
              <w:rPr/>
              <w:t>报价</w:t>
            </w:r>
          </w:p>
        </w:tc>
        <w:tc>
          <w:tcPr>
            <w:tcW w:type="dxa" w:w="7476"/>
            <w:gridSpan w:val="6"/>
          </w:tcPr>
          <w:p>
            <w:pPr>
              <w:pStyle w:val="null3"/>
              <w:jc w:val="left"/>
            </w:pPr>
            <w:r>
              <w:rPr/>
              <w:t>a.采购包内属于节能、环境标志产品的报价总金额：</w:t>
            </w:r>
            <w:r>
              <w:rPr>
                <w:u w:val="single"/>
              </w:rPr>
              <w:t xml:space="preserve">    </w:t>
            </w:r>
            <w:r>
              <w:rPr/>
              <w:t>。</w:t>
            </w:r>
          </w:p>
        </w:tc>
      </w:tr>
    </w:tbl>
    <w:p>
      <w:pPr>
        <w:pStyle w:val="null3"/>
        <w:ind w:firstLine="480"/>
        <w:jc w:val="left"/>
      </w:pPr>
      <w:r>
        <w:rPr/>
        <w:t>※注意：</w:t>
      </w:r>
    </w:p>
    <w:p>
      <w:pPr>
        <w:pStyle w:val="null3"/>
        <w:ind w:firstLine="480"/>
        <w:jc w:val="left"/>
      </w:pPr>
      <w:r>
        <w:rPr/>
        <w:t>1、对“节能、环境标志产品”计算价格扣除时，只依据响应文件提交的材料。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3.3供应商应按照谈判文件上表要求认真统计、计算。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