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360"/>
        <w:jc w:val="center"/>
        <w:textAlignment w:val="auto"/>
        <w:outlineLvl w:val="2"/>
        <w:rPr>
          <w:rFonts w:hint="eastAsia" w:ascii="方正小标宋简体" w:hAnsi="方正小标宋简体" w:eastAsia="方正小标宋简体" w:cs="方正小标宋简体"/>
          <w:smallCaps w:val="0"/>
          <w:sz w:val="44"/>
          <w:szCs w:val="44"/>
          <w:lang w:eastAsia="zh-CN"/>
        </w:rPr>
      </w:pPr>
    </w:p>
    <w:p>
      <w:pPr>
        <w:pStyle w:val="2"/>
        <w:rPr>
          <w:rFonts w:hint="eastAsia"/>
          <w:lang w:eastAsia="zh-CN"/>
        </w:rPr>
      </w:pPr>
    </w:p>
    <w:p>
      <w:pPr>
        <w:spacing w:before="156" w:beforeLines="50" w:after="156" w:afterLines="50"/>
        <w:jc w:val="center"/>
        <w:rPr>
          <w:rFonts w:ascii="宋体"/>
          <w:b/>
          <w:bCs/>
          <w:color w:val="FF0000"/>
          <w:w w:val="55"/>
          <w:sz w:val="100"/>
          <w:szCs w:val="100"/>
        </w:rPr>
      </w:pPr>
      <w:r>
        <w:rPr>
          <w:rFonts w:hint="eastAsia" w:ascii="宋体" w:hAnsi="宋体" w:cs="宋体"/>
          <w:b/>
          <w:bCs/>
          <w:color w:val="FF0000"/>
          <w:w w:val="55"/>
          <w:sz w:val="100"/>
          <w:szCs w:val="100"/>
        </w:rPr>
        <w:t>中共福建省委教育工作委员会文件</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360"/>
        <w:jc w:val="center"/>
        <w:textAlignment w:val="auto"/>
        <w:outlineLvl w:val="2"/>
        <w:rPr>
          <w:rFonts w:hint="eastAsia" w:ascii="方正小标宋简体" w:hAnsi="方正小标宋简体" w:eastAsia="方正小标宋简体" w:cs="方正小标宋简体"/>
          <w:smallCaps w:val="0"/>
          <w:sz w:val="44"/>
          <w:szCs w:val="44"/>
          <w:lang w:eastAsia="zh-CN"/>
        </w:rPr>
      </w:pPr>
    </w:p>
    <w:p>
      <w:pPr>
        <w:spacing w:line="620" w:lineRule="exact"/>
        <w:jc w:val="center"/>
        <w:rPr>
          <w:rFonts w:ascii="方正小标宋简体" w:hAnsi="方正小标宋简体" w:eastAsia="方正小标宋简体" w:cs="方正小标宋简体"/>
          <w:sz w:val="44"/>
        </w:rPr>
      </w:pPr>
      <w:r>
        <w:rPr>
          <w:rFonts w:hint="eastAsia" w:ascii="仿宋_GB2312" w:hAnsi="仿宋" w:eastAsia="仿宋_GB2312" w:cs="仿宋"/>
          <w:sz w:val="32"/>
          <w:szCs w:val="32"/>
        </w:rPr>
        <w:t>闽委教思〔201</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30</w:t>
      </w:r>
      <w:r>
        <w:rPr>
          <w:rFonts w:hint="eastAsia" w:ascii="仿宋_GB2312" w:hAnsi="仿宋" w:eastAsia="仿宋_GB2312" w:cs="仿宋"/>
          <w:sz w:val="32"/>
          <w:szCs w:val="32"/>
        </w:rPr>
        <w:t>号</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360"/>
        <w:jc w:val="center"/>
        <w:textAlignment w:val="auto"/>
        <w:outlineLvl w:val="2"/>
        <w:rPr>
          <w:rFonts w:hint="eastAsia" w:ascii="方正小标宋简体" w:hAnsi="方正小标宋简体" w:eastAsia="方正小标宋简体" w:cs="方正小标宋简体"/>
          <w:smallCaps w:val="0"/>
          <w:sz w:val="44"/>
          <w:szCs w:val="44"/>
          <w:lang w:eastAsia="zh-CN"/>
        </w:rPr>
      </w:pPr>
      <w:r>
        <w:rPr>
          <w:rFonts w:ascii="方正小标宋简体" w:hAnsi="方正小标宋简体" w:eastAsia="方正小标宋简体" w:cs="方正小标宋简体"/>
          <w:sz w:val="44"/>
        </w:rPr>
        <mc:AlternateContent>
          <mc:Choice Requires="wps">
            <w:drawing>
              <wp:anchor distT="0" distB="0" distL="114300" distR="114300" simplePos="0" relativeHeight="251662336" behindDoc="0" locked="0" layoutInCell="1" allowOverlap="1">
                <wp:simplePos x="0" y="0"/>
                <wp:positionH relativeFrom="column">
                  <wp:posOffset>-264160</wp:posOffset>
                </wp:positionH>
                <wp:positionV relativeFrom="paragraph">
                  <wp:posOffset>222885</wp:posOffset>
                </wp:positionV>
                <wp:extent cx="5629275" cy="10160"/>
                <wp:effectExtent l="0" t="19050" r="9525" b="27940"/>
                <wp:wrapNone/>
                <wp:docPr id="1" name="直接箭头连接符 1"/>
                <wp:cNvGraphicFramePr/>
                <a:graphic xmlns:a="http://schemas.openxmlformats.org/drawingml/2006/main">
                  <a:graphicData uri="http://schemas.microsoft.com/office/word/2010/wordprocessingShape">
                    <wps:wsp>
                      <wps:cNvCnPr/>
                      <wps:spPr>
                        <a:xfrm>
                          <a:off x="0" y="0"/>
                          <a:ext cx="5629275" cy="10160"/>
                        </a:xfrm>
                        <a:prstGeom prst="straightConnector1">
                          <a:avLst/>
                        </a:prstGeom>
                        <a:ln w="381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8pt;margin-top:17.55pt;height:0.8pt;width:443.25pt;z-index:251662336;mso-width-relative:page;mso-height-relative:page;" filled="f" stroked="t" coordsize="21600,21600" o:gfxdata="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O2b6doAAAAJAQAADwAAAAAAAAABACAAAAAiAAAAZHJzL2Rvd25yZXYueG1sUEsBAhQAFAAAAAgA&#10;h07iQOCCJ9jqAQAAowMAAA4AAAAAAAAAAQAgAAAAKQEAAGRycy9lMm9Eb2MueG1sUEsFBgAAAAAG&#10;AAYAWQEAAIUFAAAAAA==&#10;">
                <v:fill on="f" focussize="0,0"/>
                <v:stroke weight="3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Theme="majorEastAsia" w:hAnsiTheme="majorEastAsia" w:eastAsiaTheme="majorEastAsia"/>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spacing w:val="-20"/>
          <w:sz w:val="44"/>
          <w:szCs w:val="44"/>
          <w:lang w:val="en-US" w:eastAsia="zh-CN"/>
        </w:rPr>
      </w:pPr>
      <w:r>
        <w:rPr>
          <w:rFonts w:hint="eastAsia" w:ascii="方正小标宋简体" w:hAnsi="方正小标宋简体" w:eastAsia="方正小标宋简体" w:cs="方正小标宋简体"/>
          <w:b w:val="0"/>
          <w:bCs/>
          <w:spacing w:val="-20"/>
          <w:sz w:val="44"/>
          <w:szCs w:val="44"/>
        </w:rPr>
        <w:t>中共福建省委教育工委关于公布</w:t>
      </w:r>
      <w:r>
        <w:rPr>
          <w:rFonts w:hint="eastAsia" w:ascii="方正小标宋简体" w:hAnsi="方正小标宋简体" w:eastAsia="方正小标宋简体" w:cs="方正小标宋简体"/>
          <w:b w:val="0"/>
          <w:bCs/>
          <w:spacing w:val="-20"/>
          <w:sz w:val="44"/>
          <w:szCs w:val="44"/>
          <w:lang w:val="en-US" w:eastAsia="zh-CN"/>
        </w:rPr>
        <w:t>2019年福建省高校思想政治工作精品项目</w:t>
      </w:r>
      <w:r>
        <w:rPr>
          <w:rFonts w:hint="eastAsia" w:ascii="方正小标宋简体" w:hAnsi="方正小标宋简体" w:eastAsia="方正小标宋简体" w:cs="方正小标宋简体"/>
          <w:b w:val="0"/>
          <w:bCs/>
          <w:spacing w:val="-20"/>
          <w:sz w:val="44"/>
          <w:szCs w:val="44"/>
        </w:rPr>
        <w:t>和</w:t>
      </w:r>
      <w:r>
        <w:rPr>
          <w:rFonts w:hint="eastAsia" w:ascii="方正小标宋简体" w:hAnsi="方正小标宋简体" w:eastAsia="方正小标宋简体" w:cs="方正小标宋简体"/>
          <w:b w:val="0"/>
          <w:bCs/>
          <w:spacing w:val="-20"/>
          <w:sz w:val="44"/>
          <w:szCs w:val="44"/>
          <w:lang w:val="en-US" w:eastAsia="zh-CN"/>
        </w:rPr>
        <w:t>第二批福建省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pacing w:val="-20"/>
          <w:sz w:val="44"/>
          <w:szCs w:val="44"/>
          <w:lang w:val="en-US" w:eastAsia="zh-CN"/>
        </w:rPr>
        <w:t>高校哲学社会科学优秀讲坛</w:t>
      </w:r>
      <w:r>
        <w:rPr>
          <w:rFonts w:hint="eastAsia" w:ascii="方正小标宋简体" w:hAnsi="方正小标宋简体" w:eastAsia="方正小标宋简体" w:cs="方正小标宋简体"/>
          <w:b w:val="0"/>
          <w:bCs/>
          <w:spacing w:val="-20"/>
          <w:sz w:val="44"/>
          <w:szCs w:val="44"/>
        </w:rPr>
        <w:t>名单的通知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方正小标宋_GBK" w:hAnsi="宋体"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仿宋_GB2312" w:eastAsia="仿宋_GB2312"/>
          <w:sz w:val="32"/>
          <w:szCs w:val="32"/>
        </w:rPr>
      </w:pPr>
      <w:bookmarkStart w:id="0" w:name="主送"/>
      <w:r>
        <w:rPr>
          <w:rFonts w:hint="eastAsia" w:ascii="仿宋_GB2312" w:eastAsia="仿宋_GB2312"/>
          <w:sz w:val="32"/>
          <w:szCs w:val="32"/>
        </w:rPr>
        <w:t>各高等学校</w:t>
      </w:r>
      <w:bookmarkEnd w:id="0"/>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根据《中共福建省委教育工委关于做好高校思想政治工作有关培育建设项目申报工作的通知》（闽委教思〔2019〕28号）</w:t>
      </w:r>
      <w:r>
        <w:rPr>
          <w:rFonts w:hint="eastAsia" w:ascii="仿宋_GB2312" w:eastAsia="仿宋_GB2312"/>
          <w:sz w:val="32"/>
          <w:szCs w:val="32"/>
          <w:lang w:eastAsia="zh-CN"/>
        </w:rPr>
        <w:t>和</w:t>
      </w:r>
      <w:r>
        <w:rPr>
          <w:rFonts w:hint="eastAsia" w:ascii="仿宋_GB2312" w:eastAsia="仿宋_GB2312"/>
          <w:sz w:val="32"/>
          <w:szCs w:val="32"/>
        </w:rPr>
        <w:t>《中共福建省委教育工委关于</w:t>
      </w:r>
      <w:r>
        <w:rPr>
          <w:rFonts w:hint="eastAsia" w:ascii="仿宋_GB2312" w:eastAsia="仿宋_GB2312"/>
          <w:sz w:val="32"/>
          <w:szCs w:val="32"/>
          <w:lang w:eastAsia="zh-CN"/>
        </w:rPr>
        <w:t>开展第二批福建省高校哲学社会科学优秀讲坛</w:t>
      </w:r>
      <w:r>
        <w:rPr>
          <w:rFonts w:hint="eastAsia" w:ascii="仿宋_GB2312" w:eastAsia="仿宋_GB2312"/>
          <w:sz w:val="32"/>
          <w:szCs w:val="32"/>
        </w:rPr>
        <w:t>申报</w:t>
      </w:r>
      <w:r>
        <w:rPr>
          <w:rFonts w:hint="eastAsia" w:ascii="仿宋_GB2312" w:eastAsia="仿宋_GB2312"/>
          <w:sz w:val="32"/>
          <w:szCs w:val="32"/>
          <w:lang w:eastAsia="zh-CN"/>
        </w:rPr>
        <w:t>评选</w:t>
      </w:r>
      <w:r>
        <w:rPr>
          <w:rFonts w:hint="eastAsia" w:ascii="仿宋_GB2312" w:eastAsia="仿宋_GB2312"/>
          <w:sz w:val="32"/>
          <w:szCs w:val="32"/>
        </w:rPr>
        <w:t>工作的通知》（闽委教思〔2019〕2</w:t>
      </w:r>
      <w:r>
        <w:rPr>
          <w:rFonts w:hint="eastAsia" w:ascii="仿宋_GB2312" w:eastAsia="仿宋_GB2312"/>
          <w:sz w:val="32"/>
          <w:szCs w:val="32"/>
          <w:lang w:val="en-US" w:eastAsia="zh-CN"/>
        </w:rPr>
        <w:t>6</w:t>
      </w:r>
      <w:r>
        <w:rPr>
          <w:rFonts w:hint="eastAsia" w:ascii="仿宋_GB2312" w:eastAsia="仿宋_GB2312"/>
          <w:sz w:val="32"/>
          <w:szCs w:val="32"/>
        </w:rPr>
        <w:t>号）</w:t>
      </w:r>
      <w:r>
        <w:rPr>
          <w:rFonts w:hint="eastAsia" w:ascii="仿宋_GB2312" w:eastAsia="仿宋_GB2312"/>
          <w:sz w:val="32"/>
          <w:szCs w:val="32"/>
          <w:lang w:eastAsia="zh-CN"/>
        </w:rPr>
        <w:t>要求</w:t>
      </w:r>
      <w:r>
        <w:rPr>
          <w:rFonts w:hint="eastAsia" w:ascii="仿宋_GB2312" w:eastAsia="仿宋_GB2312"/>
          <w:sz w:val="32"/>
          <w:szCs w:val="32"/>
        </w:rPr>
        <w:t>，经</w:t>
      </w:r>
      <w:r>
        <w:rPr>
          <w:rFonts w:hint="eastAsia" w:ascii="仿宋_GB2312" w:eastAsia="仿宋_GB2312"/>
          <w:sz w:val="32"/>
          <w:szCs w:val="32"/>
          <w:lang w:eastAsia="zh-CN"/>
        </w:rPr>
        <w:t>高校申报</w:t>
      </w:r>
      <w:r>
        <w:rPr>
          <w:rFonts w:hint="eastAsia" w:ascii="仿宋_GB2312" w:eastAsia="仿宋_GB2312"/>
          <w:sz w:val="32"/>
          <w:szCs w:val="32"/>
        </w:rPr>
        <w:t>、专家</w:t>
      </w:r>
      <w:r>
        <w:rPr>
          <w:rFonts w:hint="eastAsia" w:ascii="仿宋_GB2312" w:eastAsia="仿宋_GB2312"/>
          <w:sz w:val="32"/>
          <w:szCs w:val="32"/>
          <w:lang w:eastAsia="zh-CN"/>
        </w:rPr>
        <w:t>评审</w:t>
      </w:r>
      <w:r>
        <w:rPr>
          <w:rFonts w:hint="eastAsia" w:ascii="仿宋_GB2312" w:eastAsia="仿宋_GB2312"/>
          <w:sz w:val="32"/>
          <w:szCs w:val="32"/>
        </w:rPr>
        <w:t>、结果公示等程序，遴选产生</w:t>
      </w:r>
      <w:r>
        <w:rPr>
          <w:rFonts w:hint="eastAsia" w:ascii="仿宋_GB2312" w:eastAsia="仿宋_GB2312"/>
          <w:sz w:val="32"/>
          <w:szCs w:val="32"/>
          <w:lang w:val="en-US" w:eastAsia="zh-CN"/>
        </w:rPr>
        <w:t>2019年福建省高校思想政治工作精品项目</w:t>
      </w:r>
      <w:r>
        <w:rPr>
          <w:rFonts w:hint="eastAsia" w:ascii="仿宋_GB2312" w:eastAsia="仿宋_GB2312"/>
          <w:sz w:val="32"/>
          <w:szCs w:val="32"/>
        </w:rPr>
        <w:t>和</w:t>
      </w:r>
      <w:r>
        <w:rPr>
          <w:rFonts w:hint="eastAsia" w:ascii="仿宋_GB2312" w:eastAsia="仿宋_GB2312"/>
          <w:sz w:val="32"/>
          <w:szCs w:val="32"/>
          <w:lang w:val="en-US" w:eastAsia="zh-CN"/>
        </w:rPr>
        <w:t>第二批福建省高校哲学社会科学优秀讲坛</w:t>
      </w:r>
      <w:r>
        <w:rPr>
          <w:rFonts w:hint="eastAsia" w:ascii="仿宋_GB2312" w:eastAsia="仿宋_GB2312"/>
          <w:sz w:val="32"/>
          <w:szCs w:val="32"/>
        </w:rPr>
        <w:t>名单</w:t>
      </w:r>
      <w:r>
        <w:rPr>
          <w:rFonts w:hint="eastAsia" w:ascii="仿宋_GB2312" w:eastAsia="仿宋_GB2312"/>
          <w:sz w:val="32"/>
          <w:szCs w:val="32"/>
          <w:lang w:val="en-US" w:eastAsia="zh-CN"/>
        </w:rPr>
        <w:t>。</w:t>
      </w:r>
      <w:r>
        <w:rPr>
          <w:rFonts w:hint="eastAsia" w:ascii="仿宋_GB2312" w:eastAsia="仿宋_GB2312"/>
          <w:sz w:val="32"/>
          <w:szCs w:val="32"/>
        </w:rPr>
        <w:t>现予公布</w:t>
      </w:r>
      <w:r>
        <w:rPr>
          <w:rFonts w:hint="eastAsia" w:ascii="仿宋_GB2312" w:eastAsia="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入选</w:t>
      </w:r>
      <w:r>
        <w:rPr>
          <w:rFonts w:hint="eastAsia" w:ascii="仿宋_GB2312" w:eastAsia="仿宋_GB2312"/>
          <w:sz w:val="32"/>
          <w:szCs w:val="32"/>
          <w:lang w:val="en-US" w:eastAsia="zh-CN"/>
        </w:rPr>
        <w:t>福建省高校思想政治工作精品项目的</w:t>
      </w:r>
      <w:r>
        <w:rPr>
          <w:rFonts w:hint="eastAsia" w:ascii="仿宋_GB2312" w:eastAsia="仿宋_GB2312"/>
          <w:sz w:val="32"/>
          <w:szCs w:val="32"/>
          <w:lang w:eastAsia="zh-CN"/>
        </w:rPr>
        <w:t>各项目所在高校要按照项目建设标准和管理办法，加强工作指导，落实必要保障，扎实推进项目实施、优化项目建设、推动成果转化推广等工作，探索形成具有可示范、可引领、可辐射、可推广的先进经验和典型做法，推动形成加强和改进高校思想政治工作体系的生动局面。请各项目建设单位于20</w:t>
      </w:r>
      <w:r>
        <w:rPr>
          <w:rFonts w:hint="eastAsia" w:ascii="仿宋_GB2312" w:eastAsia="仿宋_GB2312"/>
          <w:sz w:val="32"/>
          <w:szCs w:val="32"/>
          <w:lang w:val="en-US" w:eastAsia="zh-CN"/>
        </w:rPr>
        <w:t>20</w:t>
      </w:r>
      <w:r>
        <w:rPr>
          <w:rFonts w:hint="eastAsia" w:ascii="仿宋_GB2312" w:eastAsia="仿宋_GB2312"/>
          <w:sz w:val="32"/>
          <w:szCs w:val="32"/>
          <w:lang w:eastAsia="zh-CN"/>
        </w:rPr>
        <w:t>年</w:t>
      </w:r>
      <w:r>
        <w:rPr>
          <w:rFonts w:hint="eastAsia" w:ascii="仿宋_GB2312" w:eastAsia="仿宋_GB2312"/>
          <w:sz w:val="32"/>
          <w:szCs w:val="32"/>
          <w:lang w:val="en-US" w:eastAsia="zh-CN"/>
        </w:rPr>
        <w:t>10</w:t>
      </w:r>
      <w:r>
        <w:rPr>
          <w:rFonts w:hint="eastAsia" w:ascii="仿宋_GB2312" w:eastAsia="仿宋_GB2312"/>
          <w:sz w:val="32"/>
          <w:szCs w:val="32"/>
          <w:lang w:eastAsia="zh-CN"/>
        </w:rPr>
        <w:t>月</w:t>
      </w:r>
      <w:r>
        <w:rPr>
          <w:rFonts w:hint="eastAsia" w:ascii="仿宋_GB2312" w:eastAsia="仿宋_GB2312"/>
          <w:sz w:val="32"/>
          <w:szCs w:val="32"/>
          <w:lang w:val="en-US" w:eastAsia="zh-CN"/>
        </w:rPr>
        <w:t>3</w:t>
      </w:r>
      <w:r>
        <w:rPr>
          <w:rFonts w:hint="eastAsia" w:ascii="仿宋_GB2312" w:eastAsia="仿宋_GB2312"/>
          <w:sz w:val="32"/>
          <w:szCs w:val="32"/>
          <w:lang w:eastAsia="zh-CN"/>
        </w:rPr>
        <w:t>0日前，总结项目建设情况并形成报告，经所在学校审核后报送我委思想政治工作处。</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 w:eastAsia="仿宋_GB2312" w:cs="仿宋_GB2312"/>
          <w:color w:val="auto"/>
          <w:spacing w:val="4"/>
          <w:sz w:val="32"/>
          <w:szCs w:val="32"/>
          <w:lang w:eastAsia="zh-CN"/>
        </w:rPr>
      </w:pPr>
      <w:r>
        <w:rPr>
          <w:rFonts w:hint="eastAsia" w:ascii="仿宋_GB2312" w:eastAsia="仿宋_GB2312"/>
          <w:sz w:val="32"/>
          <w:szCs w:val="32"/>
          <w:lang w:eastAsia="zh-CN"/>
        </w:rPr>
        <w:t>入选</w:t>
      </w:r>
      <w:r>
        <w:rPr>
          <w:rFonts w:hint="eastAsia" w:ascii="仿宋_GB2312" w:eastAsia="仿宋_GB2312"/>
          <w:sz w:val="32"/>
          <w:szCs w:val="32"/>
          <w:lang w:val="en-US" w:eastAsia="zh-CN"/>
        </w:rPr>
        <w:t>第二批福建省高校哲学社会科学优秀讲坛的</w:t>
      </w:r>
      <w:r>
        <w:rPr>
          <w:rFonts w:hint="eastAsia" w:ascii="仿宋_GB2312" w:eastAsia="仿宋_GB2312"/>
          <w:sz w:val="32"/>
          <w:szCs w:val="32"/>
        </w:rPr>
        <w:t>各有关高校</w:t>
      </w:r>
      <w:r>
        <w:rPr>
          <w:rFonts w:hint="eastAsia" w:ascii="仿宋_GB2312" w:eastAsia="仿宋_GB2312"/>
          <w:sz w:val="32"/>
          <w:szCs w:val="32"/>
          <w:lang w:eastAsia="zh-CN"/>
        </w:rPr>
        <w:t>要</w:t>
      </w:r>
      <w:r>
        <w:rPr>
          <w:rFonts w:hint="eastAsia" w:ascii="仿宋_GB2312" w:eastAsia="仿宋_GB2312"/>
          <w:sz w:val="32"/>
          <w:szCs w:val="32"/>
          <w:lang w:val="en-US" w:eastAsia="zh-CN"/>
        </w:rPr>
        <w:t>建立健全党委领导负总责、党委宣传部门牵头、各部门参与的工作机制，</w:t>
      </w:r>
      <w:r>
        <w:rPr>
          <w:rFonts w:hint="eastAsia" w:ascii="仿宋_GB2312" w:eastAsia="仿宋_GB2312"/>
          <w:sz w:val="32"/>
          <w:szCs w:val="32"/>
          <w:lang w:eastAsia="zh-CN"/>
        </w:rPr>
        <w:t>强化统筹保障，完善实施方案，</w:t>
      </w:r>
      <w:r>
        <w:rPr>
          <w:rFonts w:hint="eastAsia" w:ascii="仿宋_GB2312" w:eastAsia="仿宋_GB2312"/>
          <w:sz w:val="32"/>
          <w:szCs w:val="32"/>
          <w:lang w:val="en-US" w:eastAsia="zh-CN"/>
        </w:rPr>
        <w:t>严格落实“一会一报”制度，</w:t>
      </w:r>
      <w:r>
        <w:rPr>
          <w:rFonts w:hint="eastAsia" w:ascii="仿宋_GB2312" w:hAnsi="仿宋_GB2312" w:eastAsia="仿宋_GB2312" w:cs="仿宋_GB2312"/>
          <w:b w:val="0"/>
          <w:bCs w:val="0"/>
          <w:sz w:val="32"/>
          <w:szCs w:val="32"/>
          <w:lang w:val="en-US" w:eastAsia="zh-CN"/>
        </w:rPr>
        <w:t>旗帜鲜明地坚持以马克思主义为指导，</w:t>
      </w:r>
      <w:r>
        <w:rPr>
          <w:rFonts w:hint="eastAsia" w:ascii="仿宋_GB2312" w:hAnsi="仿宋_GB2312" w:eastAsia="仿宋_GB2312" w:cs="仿宋_GB2312"/>
          <w:b w:val="0"/>
          <w:bCs w:val="0"/>
          <w:kern w:val="2"/>
          <w:sz w:val="32"/>
          <w:szCs w:val="32"/>
          <w:lang w:val="en-US" w:eastAsia="zh-CN" w:bidi="ar-SA"/>
        </w:rPr>
        <w:t>坚持不懈传播马克思主义科学理论，</w:t>
      </w:r>
      <w:r>
        <w:rPr>
          <w:rFonts w:hint="eastAsia" w:ascii="仿宋_GB2312" w:eastAsia="仿宋_GB2312"/>
          <w:sz w:val="32"/>
          <w:szCs w:val="32"/>
          <w:lang w:val="en-US" w:eastAsia="zh-CN"/>
        </w:rPr>
        <w:t>围绕落实立德树人根本任务，推动讲坛活动</w:t>
      </w:r>
      <w:r>
        <w:rPr>
          <w:rFonts w:hint="eastAsia" w:ascii="仿宋_GB2312" w:hAnsi="仿宋_GB2312" w:eastAsia="仿宋_GB2312" w:cs="仿宋_GB2312"/>
          <w:b w:val="0"/>
          <w:bCs w:val="0"/>
          <w:kern w:val="2"/>
          <w:sz w:val="32"/>
          <w:szCs w:val="32"/>
          <w:lang w:val="en-US" w:eastAsia="zh-CN" w:bidi="ar-SA"/>
        </w:rPr>
        <w:t>常态化开展</w:t>
      </w:r>
      <w:r>
        <w:rPr>
          <w:rFonts w:hint="eastAsia" w:ascii="仿宋_GB2312" w:eastAsia="仿宋_GB2312"/>
          <w:sz w:val="32"/>
          <w:szCs w:val="32"/>
          <w:lang w:val="en-US" w:eastAsia="zh-CN"/>
        </w:rPr>
        <w:t>，不断凝练</w:t>
      </w:r>
      <w:r>
        <w:rPr>
          <w:rFonts w:hint="eastAsia" w:ascii="仿宋_GB2312" w:hAnsi="仿宋_GB2312" w:eastAsia="仿宋_GB2312" w:cs="仿宋_GB2312"/>
          <w:b w:val="0"/>
          <w:bCs w:val="0"/>
          <w:sz w:val="32"/>
          <w:szCs w:val="32"/>
          <w:lang w:val="en-US" w:eastAsia="zh-CN"/>
        </w:rPr>
        <w:t>特色、形成品牌。</w:t>
      </w:r>
      <w:r>
        <w:rPr>
          <w:rFonts w:hint="eastAsia" w:ascii="仿宋_GB2312" w:eastAsia="仿宋_GB2312"/>
          <w:sz w:val="32"/>
          <w:szCs w:val="32"/>
          <w:lang w:val="en-US" w:eastAsia="zh-CN"/>
        </w:rPr>
        <w:t>省委教育工委给予每个讲坛5万元奖补。</w:t>
      </w:r>
      <w:r>
        <w:rPr>
          <w:rFonts w:hint="eastAsia" w:ascii="仿宋_GB2312" w:hAnsi="仿宋" w:eastAsia="仿宋_GB2312" w:cs="仿宋_GB2312"/>
          <w:color w:val="auto"/>
          <w:spacing w:val="4"/>
          <w:sz w:val="32"/>
          <w:szCs w:val="32"/>
          <w:lang w:eastAsia="zh-CN"/>
        </w:rPr>
        <w:t>各有关高校要严格执行有关财务管理规定，对工作经费严格管理、专款专用。</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联系人：林岚、修德茂，电话：0591－87091437、87091476、87846705（传真），</w:t>
      </w:r>
      <w:r>
        <w:rPr>
          <w:rFonts w:hint="eastAsia" w:ascii="仿宋_GB2312" w:hAnsi="仿宋_GB2312" w:eastAsia="仿宋_GB2312" w:cs="仿宋_GB2312"/>
          <w:b w:val="0"/>
          <w:bCs w:val="0"/>
          <w:sz w:val="32"/>
          <w:szCs w:val="32"/>
          <w:lang w:val="en-US" w:eastAsia="zh-CN"/>
        </w:rPr>
        <w:t>电子邮箱：jygwxcb476@163.com，地址：福州市鼓屏路162号1105室（邮编：350003）</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中共福建省委教育工委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小标宋简体" w:eastAsia="方正小标宋简体"/>
          <w:w w:val="90"/>
          <w:sz w:val="36"/>
          <w:szCs w:val="36"/>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pPr>
      <w:r>
        <w:br w:type="page"/>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福建省高校思想政治工作精品项目</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val="0"/>
          <w:bCs w:val="0"/>
          <w:sz w:val="32"/>
          <w:szCs w:val="32"/>
          <w:lang w:val="en-US" w:eastAsia="zh-CN"/>
        </w:rPr>
        <w:t>（60项，排名不分先后）</w:t>
      </w:r>
    </w:p>
    <w:tbl>
      <w:tblPr>
        <w:tblStyle w:val="6"/>
        <w:tblW w:w="84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8"/>
        <w:gridCol w:w="2070"/>
        <w:gridCol w:w="5070"/>
        <w:gridCol w:w="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pacing w:val="-20"/>
                <w:sz w:val="24"/>
                <w:szCs w:val="24"/>
                <w:u w:val="none"/>
              </w:rPr>
            </w:pPr>
            <w:r>
              <w:rPr>
                <w:rFonts w:hint="eastAsia" w:ascii="黑体" w:hAnsi="宋体" w:eastAsia="黑体" w:cs="黑体"/>
                <w:i w:val="0"/>
                <w:color w:val="000000"/>
                <w:spacing w:val="-20"/>
                <w:kern w:val="0"/>
                <w:sz w:val="24"/>
                <w:szCs w:val="24"/>
                <w:u w:val="none"/>
                <w:lang w:val="en-US" w:eastAsia="zh-CN"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申报学校</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4"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厦门大学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以台湾驻点实践基地为依托的新时代涉台人才培养</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实践育人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4"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厦门大学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高校精细化管理实践之“午餐计划”</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服务育人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4"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厦门大学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团校学习体系化，打造团学工作特色品牌</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组织育人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4"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华侨大学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构筑融合式管理体系 服务海内外人才培养</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管理育人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华侨大学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学好中华文化，讲好中国故事——实施外国留学生“承志”中华传统文化教育工程</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6</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华侨大学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深化“科研+”三全育人，打造侨校特色“砼”心圆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科研育人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福州大学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以“历史情景剧”教学法推进落实“立德树人”根本任务</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课程育人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8</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福州大学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ACM协同育人新模式的探索与构建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实践育人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福建师范大学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以美育人——“阅水成川”系列校园文化活动</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pacing w:val="-20"/>
                <w:sz w:val="24"/>
                <w:szCs w:val="24"/>
                <w:u w:val="none"/>
              </w:rPr>
            </w:pPr>
            <w:r>
              <w:rPr>
                <w:rFonts w:hint="eastAsia" w:ascii="仿宋_GB2312" w:hAnsi="宋体" w:eastAsia="仿宋_GB2312" w:cs="仿宋_GB2312"/>
                <w:i w:val="0"/>
                <w:color w:val="000000"/>
                <w:spacing w:val="-20"/>
                <w:kern w:val="0"/>
                <w:sz w:val="24"/>
                <w:szCs w:val="24"/>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sz w:val="24"/>
                <w:szCs w:val="24"/>
                <w:u w:val="none"/>
              </w:rPr>
            </w:pPr>
            <w:r>
              <w:rPr>
                <w:rFonts w:hint="eastAsia" w:ascii="仿宋_GB2312" w:hAnsi="宋体" w:eastAsia="仿宋_GB2312" w:cs="仿宋_GB2312"/>
                <w:i w:val="0"/>
                <w:color w:val="000000"/>
                <w:spacing w:val="-23"/>
                <w:kern w:val="0"/>
                <w:sz w:val="24"/>
                <w:szCs w:val="24"/>
                <w:u w:val="none"/>
                <w:lang w:val="en-US" w:eastAsia="zh-CN" w:bidi="ar"/>
              </w:rPr>
              <w:t>福建师范大学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着力标准体系建设  提升心理育人质量</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sz w:val="24"/>
                <w:szCs w:val="24"/>
                <w:u w:val="none"/>
              </w:rPr>
            </w:pPr>
            <w:r>
              <w:rPr>
                <w:rFonts w:hint="eastAsia" w:ascii="仿宋_GB2312" w:hAnsi="宋体" w:eastAsia="仿宋_GB2312" w:cs="仿宋_GB2312"/>
                <w:i w:val="0"/>
                <w:color w:val="000000"/>
                <w:spacing w:val="-23"/>
                <w:kern w:val="0"/>
                <w:sz w:val="24"/>
                <w:szCs w:val="24"/>
                <w:u w:val="none"/>
                <w:lang w:val="en-US" w:eastAsia="zh-CN" w:bidi="ar"/>
              </w:rPr>
              <w:t>心理育人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11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福建农林大学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“课程思政”视域下教师育人能力模式研究</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课程育人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12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福建农林大学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先进人物引领教育机制的构建与实施</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13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福建医科大学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“三力”合一，打造医德医风教育“引航工程”</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14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福建中医药大学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发挥中医药文化软实力 夯实思想政治工作新沃土——构建传承发展的中医药文化育人格局</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15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福建中医药大学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 xml:space="preserve">精准资助促发展 立德树人育新人 努力构建“五位一体”的学生资助育人机制 </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资助育人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16</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集美大学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移动国土上的家国情怀——集美大学航海文化育人特色项目</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17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集美大学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E网“集”心  打造指尖上的思政教育</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网络育人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18</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集美大学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服务海洋强国战略，打造实践育人品牌</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实践育人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19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闽南师范大学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打通“555”育人通道  提升网络思政实效</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网络育人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闽南师范大学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新时代高校协同心理育人模式实践探索</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心理育人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21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闽南师范大学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“创新创业型勤工资助”播撒发展的种子</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资助育人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22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福建工程学院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“苍霞易班”助力网络育人工作新探索</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网络育人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23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福建工程学院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校地协同，多方联动，打造高校资助育人工作新模式</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资助育人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24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厦门理工学院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“厦理工e起来” 微信平台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网络育人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25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福建江夏学院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“1+2+3+x”传统美德教育工作法的探索与实践</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26</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福建商学院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“大思政”格局下的经贸专业课程思政建设的探索与实践</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课程育人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highlight w:val="yellow"/>
                <w:u w:val="none"/>
                <w:lang w:val="en-US" w:eastAsia="zh-CN" w:bidi="ar"/>
              </w:rPr>
            </w:pPr>
            <w:r>
              <w:rPr>
                <w:rFonts w:hint="eastAsia" w:ascii="仿宋_GB2312" w:hAnsi="宋体" w:eastAsia="仿宋_GB2312" w:cs="仿宋_GB2312"/>
                <w:i w:val="0"/>
                <w:color w:val="000000"/>
                <w:spacing w:val="-20"/>
                <w:kern w:val="0"/>
                <w:sz w:val="24"/>
                <w:szCs w:val="24"/>
                <w:highlight w:val="yellow"/>
                <w:u w:val="none"/>
                <w:lang w:val="en-US" w:eastAsia="zh-CN" w:bidi="ar"/>
              </w:rPr>
              <w:t>27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highlight w:val="yellow"/>
                <w:u w:val="none"/>
                <w:lang w:val="en-US" w:eastAsia="zh-CN" w:bidi="ar"/>
              </w:rPr>
            </w:pPr>
            <w:r>
              <w:rPr>
                <w:rFonts w:hint="eastAsia" w:ascii="仿宋_GB2312" w:hAnsi="宋体" w:eastAsia="仿宋_GB2312" w:cs="仿宋_GB2312"/>
                <w:i w:val="0"/>
                <w:color w:val="000000"/>
                <w:spacing w:val="-23"/>
                <w:kern w:val="0"/>
                <w:sz w:val="24"/>
                <w:szCs w:val="24"/>
                <w:highlight w:val="yellow"/>
                <w:u w:val="none"/>
                <w:lang w:val="en-US" w:eastAsia="zh-CN" w:bidi="ar"/>
              </w:rPr>
              <w:t>泉州师范学院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highlight w:val="yellow"/>
                <w:u w:val="none"/>
                <w:lang w:val="en-US" w:eastAsia="zh-CN" w:bidi="ar"/>
              </w:rPr>
            </w:pPr>
            <w:r>
              <w:rPr>
                <w:rFonts w:hint="eastAsia" w:ascii="仿宋_GB2312" w:hAnsi="宋体" w:eastAsia="仿宋_GB2312" w:cs="仿宋_GB2312"/>
                <w:i w:val="0"/>
                <w:color w:val="000000"/>
                <w:spacing w:val="-23"/>
                <w:kern w:val="0"/>
                <w:sz w:val="24"/>
                <w:szCs w:val="24"/>
                <w:highlight w:val="yellow"/>
                <w:u w:val="none"/>
                <w:lang w:val="en-US" w:eastAsia="zh-CN" w:bidi="ar"/>
              </w:rPr>
              <w:t>文以化人 传以筑梦——打造“五色文化” 提升“文化育人”水平</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highlight w:val="yellow"/>
                <w:u w:val="none"/>
                <w:lang w:val="en-US" w:eastAsia="zh-CN" w:bidi="ar"/>
              </w:rPr>
            </w:pPr>
            <w:r>
              <w:rPr>
                <w:rFonts w:hint="eastAsia" w:ascii="仿宋_GB2312" w:hAnsi="宋体" w:eastAsia="仿宋_GB2312" w:cs="仿宋_GB2312"/>
                <w:i w:val="0"/>
                <w:color w:val="000000"/>
                <w:spacing w:val="-23"/>
                <w:kern w:val="0"/>
                <w:sz w:val="24"/>
                <w:szCs w:val="24"/>
                <w:highlight w:val="yellow"/>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highlight w:val="yellow"/>
                <w:u w:val="none"/>
                <w:lang w:val="en-US" w:eastAsia="zh-CN" w:bidi="ar"/>
              </w:rPr>
            </w:pPr>
            <w:r>
              <w:rPr>
                <w:rFonts w:hint="eastAsia" w:ascii="仿宋_GB2312" w:hAnsi="宋体" w:eastAsia="仿宋_GB2312" w:cs="仿宋_GB2312"/>
                <w:i w:val="0"/>
                <w:color w:val="000000"/>
                <w:spacing w:val="-20"/>
                <w:kern w:val="0"/>
                <w:sz w:val="24"/>
                <w:szCs w:val="24"/>
                <w:highlight w:val="yellow"/>
                <w:u w:val="none"/>
                <w:lang w:val="en-US" w:eastAsia="zh-CN" w:bidi="ar"/>
              </w:rPr>
              <w:t>28</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highlight w:val="yellow"/>
                <w:u w:val="none"/>
                <w:lang w:val="en-US" w:eastAsia="zh-CN" w:bidi="ar"/>
              </w:rPr>
            </w:pPr>
            <w:r>
              <w:rPr>
                <w:rFonts w:hint="eastAsia" w:ascii="仿宋_GB2312" w:hAnsi="宋体" w:eastAsia="仿宋_GB2312" w:cs="仿宋_GB2312"/>
                <w:i w:val="0"/>
                <w:color w:val="000000"/>
                <w:spacing w:val="-23"/>
                <w:kern w:val="0"/>
                <w:sz w:val="24"/>
                <w:szCs w:val="24"/>
                <w:highlight w:val="yellow"/>
                <w:u w:val="none"/>
                <w:lang w:val="en-US" w:eastAsia="zh-CN" w:bidi="ar"/>
              </w:rPr>
              <w:t>泉州师范学院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highlight w:val="yellow"/>
                <w:u w:val="none"/>
                <w:lang w:val="en-US" w:eastAsia="zh-CN" w:bidi="ar"/>
              </w:rPr>
            </w:pPr>
            <w:r>
              <w:rPr>
                <w:rFonts w:hint="eastAsia" w:ascii="仿宋_GB2312" w:hAnsi="宋体" w:eastAsia="仿宋_GB2312" w:cs="仿宋_GB2312"/>
                <w:i w:val="0"/>
                <w:color w:val="000000"/>
                <w:spacing w:val="-23"/>
                <w:kern w:val="0"/>
                <w:sz w:val="24"/>
                <w:szCs w:val="24"/>
                <w:highlight w:val="yellow"/>
                <w:u w:val="none"/>
                <w:lang w:val="en-US" w:eastAsia="zh-CN" w:bidi="ar"/>
              </w:rPr>
              <w:t>基于集中培养的少数民族预科班“一二三四”服务育人模式</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highlight w:val="yellow"/>
                <w:u w:val="none"/>
                <w:lang w:val="en-US" w:eastAsia="zh-CN" w:bidi="ar"/>
              </w:rPr>
            </w:pPr>
            <w:r>
              <w:rPr>
                <w:rFonts w:hint="eastAsia" w:ascii="仿宋_GB2312" w:hAnsi="宋体" w:eastAsia="仿宋_GB2312" w:cs="仿宋_GB2312"/>
                <w:i w:val="0"/>
                <w:color w:val="000000"/>
                <w:spacing w:val="-23"/>
                <w:kern w:val="0"/>
                <w:sz w:val="24"/>
                <w:szCs w:val="24"/>
                <w:highlight w:val="yellow"/>
                <w:u w:val="none"/>
                <w:lang w:val="en-US" w:eastAsia="zh-CN" w:bidi="ar"/>
              </w:rPr>
              <w:t>服务育人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highlight w:val="yellow"/>
                <w:u w:val="none"/>
                <w:lang w:val="en-US" w:eastAsia="zh-CN" w:bidi="ar"/>
              </w:rPr>
            </w:pPr>
            <w:r>
              <w:rPr>
                <w:rFonts w:hint="eastAsia" w:ascii="仿宋_GB2312" w:hAnsi="宋体" w:eastAsia="仿宋_GB2312" w:cs="仿宋_GB2312"/>
                <w:i w:val="0"/>
                <w:color w:val="000000"/>
                <w:spacing w:val="-20"/>
                <w:kern w:val="0"/>
                <w:sz w:val="24"/>
                <w:szCs w:val="24"/>
                <w:highlight w:val="yellow"/>
                <w:u w:val="none"/>
                <w:lang w:val="en-US" w:eastAsia="zh-CN" w:bidi="ar"/>
              </w:rPr>
              <w:t>29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highlight w:val="yellow"/>
                <w:u w:val="none"/>
                <w:lang w:val="en-US" w:eastAsia="zh-CN" w:bidi="ar"/>
              </w:rPr>
            </w:pPr>
            <w:r>
              <w:rPr>
                <w:rFonts w:hint="eastAsia" w:ascii="仿宋_GB2312" w:hAnsi="宋体" w:eastAsia="仿宋_GB2312" w:cs="仿宋_GB2312"/>
                <w:i w:val="0"/>
                <w:color w:val="000000"/>
                <w:spacing w:val="-23"/>
                <w:kern w:val="0"/>
                <w:sz w:val="24"/>
                <w:szCs w:val="24"/>
                <w:highlight w:val="yellow"/>
                <w:u w:val="none"/>
                <w:lang w:val="en-US" w:eastAsia="zh-CN" w:bidi="ar"/>
              </w:rPr>
              <w:t>泉州师范学院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highlight w:val="yellow"/>
                <w:u w:val="none"/>
                <w:lang w:val="en-US" w:eastAsia="zh-CN" w:bidi="ar"/>
              </w:rPr>
            </w:pPr>
            <w:r>
              <w:rPr>
                <w:rFonts w:hint="eastAsia" w:ascii="仿宋_GB2312" w:hAnsi="宋体" w:eastAsia="仿宋_GB2312" w:cs="仿宋_GB2312"/>
                <w:i w:val="0"/>
                <w:color w:val="000000"/>
                <w:spacing w:val="-23"/>
                <w:kern w:val="0"/>
                <w:sz w:val="24"/>
                <w:szCs w:val="24"/>
                <w:highlight w:val="yellow"/>
                <w:u w:val="none"/>
                <w:lang w:val="en-US" w:eastAsia="zh-CN" w:bidi="ar"/>
              </w:rPr>
              <w:t>“四个一”发展型资助育人体系构建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highlight w:val="yellow"/>
                <w:u w:val="none"/>
                <w:lang w:val="en-US" w:eastAsia="zh-CN" w:bidi="ar"/>
              </w:rPr>
            </w:pPr>
            <w:r>
              <w:rPr>
                <w:rFonts w:hint="eastAsia" w:ascii="仿宋_GB2312" w:hAnsi="宋体" w:eastAsia="仿宋_GB2312" w:cs="仿宋_GB2312"/>
                <w:i w:val="0"/>
                <w:color w:val="000000"/>
                <w:spacing w:val="-23"/>
                <w:kern w:val="0"/>
                <w:sz w:val="24"/>
                <w:szCs w:val="24"/>
                <w:highlight w:val="yellow"/>
                <w:u w:val="none"/>
                <w:lang w:val="en-US" w:eastAsia="zh-CN" w:bidi="ar"/>
              </w:rPr>
              <w:t>资助育人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30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闽江学院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让艺术青春在“设绘”乡村中闪亮</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实践育人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31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闽江学院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“关键少数”激活宿舍“小细胞”——领导干部联系学生宿舍工作长效机制探索</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服务育人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32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闽江学院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故事化表达模式下的“四好教育”文化平台构建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sz w:val="24"/>
                <w:szCs w:val="24"/>
                <w:u w:val="none"/>
              </w:rPr>
            </w:pPr>
            <w:r>
              <w:rPr>
                <w:rFonts w:hint="eastAsia" w:ascii="仿宋_GB2312" w:hAnsi="宋体" w:eastAsia="仿宋_GB2312" w:cs="仿宋_GB2312"/>
                <w:i w:val="0"/>
                <w:color w:val="000000"/>
                <w:spacing w:val="-20"/>
                <w:kern w:val="0"/>
                <w:sz w:val="24"/>
                <w:szCs w:val="24"/>
                <w:u w:val="none"/>
                <w:lang w:val="en-US" w:eastAsia="zh-CN" w:bidi="ar"/>
              </w:rPr>
              <w:t>33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龙岩学院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思政课现场体验式实践教学</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sz w:val="24"/>
                <w:szCs w:val="24"/>
                <w:u w:val="none"/>
              </w:rPr>
            </w:pPr>
            <w:r>
              <w:rPr>
                <w:rFonts w:hint="eastAsia" w:ascii="仿宋_GB2312" w:hAnsi="宋体" w:eastAsia="仿宋_GB2312" w:cs="仿宋_GB2312"/>
                <w:i w:val="0"/>
                <w:color w:val="auto"/>
                <w:spacing w:val="-23"/>
                <w:kern w:val="0"/>
                <w:sz w:val="24"/>
                <w:szCs w:val="24"/>
                <w:u w:val="none"/>
                <w:lang w:val="en-US" w:eastAsia="zh-CN" w:bidi="ar"/>
              </w:rPr>
              <w:t>实践育人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34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龙岩学院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暖心育人，精准助力学生心理健康发展</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心理育人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sz w:val="24"/>
                <w:szCs w:val="24"/>
                <w:u w:val="none"/>
              </w:rPr>
            </w:pPr>
            <w:r>
              <w:rPr>
                <w:rFonts w:hint="eastAsia" w:ascii="仿宋_GB2312" w:hAnsi="宋体" w:eastAsia="仿宋_GB2312" w:cs="仿宋_GB2312"/>
                <w:i w:val="0"/>
                <w:color w:val="000000"/>
                <w:spacing w:val="-20"/>
                <w:kern w:val="0"/>
                <w:sz w:val="24"/>
                <w:szCs w:val="24"/>
                <w:u w:val="none"/>
                <w:lang w:val="en-US" w:eastAsia="zh-CN" w:bidi="ar"/>
              </w:rPr>
              <w:t>35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宁德师范学院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“闽东之光”文化育人创新路径研究</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sz w:val="24"/>
                <w:szCs w:val="24"/>
                <w:u w:val="none"/>
              </w:rPr>
            </w:pPr>
            <w:r>
              <w:rPr>
                <w:rFonts w:hint="eastAsia" w:ascii="仿宋_GB2312" w:hAnsi="宋体" w:eastAsia="仿宋_GB2312" w:cs="仿宋_GB2312"/>
                <w:i w:val="0"/>
                <w:color w:val="000000"/>
                <w:spacing w:val="-23"/>
                <w:kern w:val="0"/>
                <w:sz w:val="24"/>
                <w:szCs w:val="24"/>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36</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宁德师范学院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系统全面扎实开展社会实践  开辟实践育人新模式</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实践育人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37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宁德师范学院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小学教育专业全域育人课程体系建构探索</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课程育人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38</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泉州信息工程学院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文化自信视域下将海丝文化融入高校育人全过程的研究与实践</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39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阳光学院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“智力助农，服务乡村振兴”大学生社会实践模式构建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实践育人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40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厦门大学嘉庚学院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在“嘉”读书 立德树人--书香校园项目</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41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福建师范大学协和学院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承协和文脉  育新时代“协和星”——打造有信仰、有情怀、有梦想的“协·和·星”文化育人体系</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42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福建农林大学金山学院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“资助-发展-回馈”五大体系资助育人新模式</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资助育人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sz w:val="24"/>
                <w:szCs w:val="24"/>
                <w:u w:val="none"/>
              </w:rPr>
            </w:pPr>
            <w:r>
              <w:rPr>
                <w:rFonts w:hint="eastAsia" w:ascii="仿宋_GB2312" w:hAnsi="宋体" w:eastAsia="仿宋_GB2312" w:cs="仿宋_GB2312"/>
                <w:i w:val="0"/>
                <w:color w:val="000000"/>
                <w:spacing w:val="-20"/>
                <w:kern w:val="0"/>
                <w:sz w:val="24"/>
                <w:szCs w:val="24"/>
                <w:u w:val="none"/>
                <w:lang w:val="en-US" w:eastAsia="zh-CN" w:bidi="ar"/>
              </w:rPr>
              <w:t>43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福建船政交通职业学院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百年船政 世纪星火</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sz w:val="24"/>
                <w:szCs w:val="24"/>
                <w:u w:val="none"/>
              </w:rPr>
            </w:pPr>
            <w:r>
              <w:rPr>
                <w:rFonts w:hint="eastAsia" w:ascii="仿宋_GB2312" w:hAnsi="宋体" w:eastAsia="仿宋_GB2312" w:cs="仿宋_GB2312"/>
                <w:i w:val="0"/>
                <w:color w:val="000000"/>
                <w:spacing w:val="-23"/>
                <w:kern w:val="0"/>
                <w:sz w:val="24"/>
                <w:szCs w:val="24"/>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44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福建信息职业技术学院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福建红色文化铸魂育人的探索与创新——以习近平新时代中国特色社会主义思想读书社为例</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45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福建水利电力职业技术学院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“多维联动 理实一体”全覆盖式思政实践育人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实践育人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2"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sz w:val="24"/>
                <w:szCs w:val="24"/>
                <w:u w:val="none"/>
              </w:rPr>
            </w:pPr>
            <w:r>
              <w:rPr>
                <w:rFonts w:hint="eastAsia" w:ascii="仿宋_GB2312" w:hAnsi="宋体" w:eastAsia="仿宋_GB2312" w:cs="仿宋_GB2312"/>
                <w:i w:val="0"/>
                <w:color w:val="000000"/>
                <w:spacing w:val="-20"/>
                <w:kern w:val="0"/>
                <w:sz w:val="24"/>
                <w:szCs w:val="24"/>
                <w:u w:val="none"/>
                <w:lang w:val="en-US" w:eastAsia="zh-CN" w:bidi="ar"/>
              </w:rPr>
              <w:t>46</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福建林业职业技术学院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构建“五位一体”实践育人模式，培养新时代“大国林人”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sz w:val="24"/>
                <w:szCs w:val="24"/>
                <w:u w:val="none"/>
              </w:rPr>
            </w:pPr>
            <w:r>
              <w:rPr>
                <w:rFonts w:hint="eastAsia" w:ascii="仿宋_GB2312" w:hAnsi="宋体" w:eastAsia="仿宋_GB2312" w:cs="仿宋_GB2312"/>
                <w:i w:val="0"/>
                <w:color w:val="000000"/>
                <w:spacing w:val="-23"/>
                <w:kern w:val="0"/>
                <w:sz w:val="24"/>
                <w:szCs w:val="24"/>
                <w:u w:val="none"/>
                <w:lang w:val="en-US" w:eastAsia="zh-CN" w:bidi="ar"/>
              </w:rPr>
              <w:t>实践育人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47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福建林业职业技术学院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扶困扶智扶志  助学筑梦铸人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资助育人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48</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厦门海洋职业技术学院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构建新时代传承嘉庚精神的实践育人模式</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实践育人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49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厦门海洋职业技术学院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龙韵凝练嘉庚精神  舟楫传承海洋文化——龙舟帆船文化育人项目</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sz w:val="24"/>
                <w:szCs w:val="24"/>
                <w:u w:val="none"/>
              </w:rPr>
            </w:pPr>
            <w:r>
              <w:rPr>
                <w:rFonts w:hint="eastAsia" w:ascii="仿宋_GB2312" w:hAnsi="宋体" w:eastAsia="仿宋_GB2312" w:cs="仿宋_GB2312"/>
                <w:i w:val="0"/>
                <w:color w:val="000000"/>
                <w:spacing w:val="-20"/>
                <w:kern w:val="0"/>
                <w:sz w:val="24"/>
                <w:szCs w:val="24"/>
                <w:u w:val="none"/>
                <w:lang w:val="en-US" w:eastAsia="zh-CN" w:bidi="ar"/>
              </w:rPr>
              <w:t>50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福建幼儿师范高等专科学校</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构建具有师范特色的思政心理学化育人新机制</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sz w:val="24"/>
                <w:szCs w:val="24"/>
                <w:u w:val="none"/>
              </w:rPr>
            </w:pPr>
            <w:r>
              <w:rPr>
                <w:rFonts w:hint="eastAsia" w:ascii="仿宋_GB2312" w:hAnsi="宋体" w:eastAsia="仿宋_GB2312" w:cs="仿宋_GB2312"/>
                <w:i w:val="0"/>
                <w:color w:val="000000"/>
                <w:spacing w:val="-23"/>
                <w:kern w:val="0"/>
                <w:sz w:val="24"/>
                <w:szCs w:val="24"/>
                <w:u w:val="none"/>
                <w:lang w:val="en-US" w:eastAsia="zh-CN" w:bidi="ar"/>
              </w:rPr>
              <w:t>心理育人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51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福建电力职业技术学院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以基地建设为载体，助推习近平新时代中国特色社会主义思想“三进”教育活动</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实践育人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52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福州职业技术学院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构建匠心筑梦文化育人体系</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53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福州职业技术学院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实施“励园思创融合”工程，打造创新创业实践育人新高地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实践育人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54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厦门城市职业学院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“融•大爱 剧•青春”高职共青团思政育人模式研究</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55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漳州卫生职业学院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卫生高职教育“五措八径”育人红十字文化体系的构建与实践</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56</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黎明职业大学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融媒体下油菜花工作室构建网络育人新体系</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网络育人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57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黎明职业大学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扬帆“六进工程”，领航排舞课程思政育人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课程育人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58</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泉州医学高等专科学校</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惠世医学人文培育体系</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kern w:val="0"/>
                <w:sz w:val="24"/>
                <w:szCs w:val="24"/>
                <w:u w:val="none"/>
                <w:lang w:val="en-US" w:eastAsia="zh-CN" w:bidi="ar"/>
              </w:rPr>
            </w:pPr>
            <w:r>
              <w:rPr>
                <w:rFonts w:hint="eastAsia" w:ascii="仿宋_GB2312" w:hAnsi="宋体" w:eastAsia="仿宋_GB2312" w:cs="仿宋_GB2312"/>
                <w:i w:val="0"/>
                <w:color w:val="000000"/>
                <w:spacing w:val="-20"/>
                <w:kern w:val="0"/>
                <w:sz w:val="24"/>
                <w:szCs w:val="24"/>
                <w:u w:val="none"/>
                <w:lang w:val="en-US" w:eastAsia="zh-CN" w:bidi="ar"/>
              </w:rPr>
              <w:t>59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pacing w:val="-23"/>
                <w:kern w:val="0"/>
                <w:sz w:val="24"/>
                <w:szCs w:val="24"/>
                <w:u w:val="none"/>
                <w:lang w:val="en-US" w:eastAsia="zh-CN" w:bidi="ar"/>
              </w:rPr>
            </w:pPr>
            <w:r>
              <w:rPr>
                <w:rFonts w:hint="eastAsia" w:ascii="仿宋_GB2312" w:hAnsi="宋体" w:eastAsia="仿宋_GB2312" w:cs="仿宋_GB2312"/>
                <w:i w:val="0"/>
                <w:color w:val="auto"/>
                <w:spacing w:val="-23"/>
                <w:kern w:val="0"/>
                <w:sz w:val="24"/>
                <w:szCs w:val="24"/>
                <w:u w:val="none"/>
                <w:lang w:val="en-US" w:eastAsia="zh-CN" w:bidi="ar"/>
              </w:rPr>
              <w:t>湄洲湾职业技术学院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妈祖文化融入大学生文化育人全过程的创新与实践</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文化育人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0"/>
                <w:sz w:val="24"/>
                <w:szCs w:val="24"/>
                <w:u w:val="none"/>
              </w:rPr>
            </w:pPr>
            <w:r>
              <w:rPr>
                <w:rFonts w:hint="eastAsia" w:ascii="仿宋_GB2312" w:hAnsi="宋体" w:eastAsia="仿宋_GB2312" w:cs="仿宋_GB2312"/>
                <w:i w:val="0"/>
                <w:color w:val="000000"/>
                <w:spacing w:val="-20"/>
                <w:kern w:val="0"/>
                <w:sz w:val="24"/>
                <w:szCs w:val="24"/>
                <w:u w:val="none"/>
                <w:lang w:val="en-US" w:eastAsia="zh-CN" w:bidi="ar"/>
              </w:rPr>
              <w:t>60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sz w:val="24"/>
                <w:szCs w:val="24"/>
                <w:u w:val="none"/>
              </w:rPr>
            </w:pPr>
            <w:r>
              <w:rPr>
                <w:rFonts w:hint="eastAsia" w:ascii="仿宋_GB2312" w:hAnsi="宋体" w:eastAsia="仿宋_GB2312" w:cs="仿宋_GB2312"/>
                <w:i w:val="0"/>
                <w:color w:val="000000"/>
                <w:spacing w:val="-23"/>
                <w:kern w:val="0"/>
                <w:sz w:val="24"/>
                <w:szCs w:val="24"/>
                <w:u w:val="none"/>
                <w:lang w:val="en-US" w:eastAsia="zh-CN" w:bidi="ar"/>
              </w:rPr>
              <w:t>福州英华职业学院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kern w:val="0"/>
                <w:sz w:val="24"/>
                <w:szCs w:val="24"/>
                <w:u w:val="none"/>
                <w:lang w:val="en-US" w:eastAsia="zh-CN" w:bidi="ar"/>
              </w:rPr>
            </w:pPr>
            <w:r>
              <w:rPr>
                <w:rFonts w:hint="eastAsia" w:ascii="仿宋_GB2312" w:hAnsi="宋体" w:eastAsia="仿宋_GB2312" w:cs="仿宋_GB2312"/>
                <w:i w:val="0"/>
                <w:color w:val="000000"/>
                <w:spacing w:val="-23"/>
                <w:kern w:val="0"/>
                <w:sz w:val="24"/>
                <w:szCs w:val="24"/>
                <w:u w:val="none"/>
                <w:lang w:val="en-US" w:eastAsia="zh-CN" w:bidi="ar"/>
              </w:rPr>
              <w:t>“英华斋”——文化育人实践与探索</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23"/>
                <w:sz w:val="24"/>
                <w:szCs w:val="24"/>
                <w:u w:val="none"/>
              </w:rPr>
            </w:pPr>
            <w:r>
              <w:rPr>
                <w:rFonts w:hint="eastAsia" w:ascii="仿宋_GB2312" w:hAnsi="宋体" w:eastAsia="仿宋_GB2312" w:cs="仿宋_GB2312"/>
                <w:i w:val="0"/>
                <w:color w:val="000000"/>
                <w:spacing w:val="-23"/>
                <w:kern w:val="0"/>
                <w:sz w:val="24"/>
                <w:szCs w:val="24"/>
                <w:u w:val="none"/>
                <w:lang w:val="en-US" w:eastAsia="zh-CN" w:bidi="ar"/>
              </w:rPr>
              <w:t>文化育人</w:t>
            </w:r>
          </w:p>
        </w:tc>
      </w:tr>
    </w:tbl>
    <w:p>
      <w:pPr>
        <w:pStyle w:val="2"/>
        <w:rPr>
          <w:rFonts w:hint="eastAsia"/>
          <w:lang w:val="en-US" w:eastAsia="zh-CN"/>
        </w:rPr>
      </w:pPr>
      <w:r>
        <w:rPr>
          <w:rFonts w:hint="eastAsia"/>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第二批福建省高校哲学社会科学优秀讲坛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val="0"/>
          <w:bCs w:val="0"/>
          <w:sz w:val="32"/>
          <w:szCs w:val="32"/>
          <w:lang w:val="en-US" w:eastAsia="zh-CN"/>
        </w:rPr>
        <w:t>（12项，排名不分先后）</w:t>
      </w:r>
    </w:p>
    <w:tbl>
      <w:tblPr>
        <w:tblStyle w:val="6"/>
        <w:tblW w:w="82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4"/>
        <w:gridCol w:w="7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FF0000"/>
                <w:sz w:val="24"/>
                <w:szCs w:val="24"/>
                <w:u w:val="none"/>
              </w:rPr>
            </w:pPr>
            <w:r>
              <w:rPr>
                <w:rFonts w:hint="eastAsia" w:ascii="仿宋_GB2312" w:hAnsi="宋体" w:eastAsia="仿宋_GB2312" w:cs="仿宋_GB2312"/>
                <w:i w:val="0"/>
                <w:color w:val="000000"/>
                <w:kern w:val="0"/>
                <w:sz w:val="24"/>
                <w:szCs w:val="24"/>
                <w:u w:val="none"/>
                <w:lang w:val="en-US" w:eastAsia="zh-CN" w:bidi="ar"/>
              </w:rPr>
              <w:t>福建工程学院苍霞讲坛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福建师范大学福清分校求真大讲堂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2"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FF0000"/>
                <w:sz w:val="24"/>
                <w:szCs w:val="24"/>
                <w:u w:val="none"/>
              </w:rPr>
            </w:pPr>
            <w:r>
              <w:rPr>
                <w:rFonts w:hint="eastAsia" w:ascii="仿宋_GB2312" w:hAnsi="宋体" w:eastAsia="仿宋_GB2312" w:cs="仿宋_GB2312"/>
                <w:i w:val="0"/>
                <w:color w:val="000000"/>
                <w:kern w:val="0"/>
                <w:sz w:val="24"/>
                <w:szCs w:val="24"/>
                <w:u w:val="none"/>
                <w:lang w:val="en-US" w:eastAsia="zh-CN" w:bidi="ar"/>
              </w:rPr>
              <w:t>三明学院致用讲坛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2"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龙岩学院奇迈讲堂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8"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FF0000"/>
                <w:sz w:val="24"/>
                <w:szCs w:val="24"/>
                <w:u w:val="none"/>
              </w:rPr>
            </w:pPr>
            <w:r>
              <w:rPr>
                <w:rFonts w:hint="eastAsia" w:ascii="仿宋_GB2312" w:hAnsi="宋体" w:eastAsia="仿宋_GB2312" w:cs="仿宋_GB2312"/>
                <w:i w:val="0"/>
                <w:color w:val="000000"/>
                <w:kern w:val="0"/>
                <w:sz w:val="24"/>
                <w:szCs w:val="24"/>
                <w:u w:val="none"/>
                <w:lang w:val="en-US" w:eastAsia="zh-CN" w:bidi="ar"/>
              </w:rPr>
              <w:t>阳光学院名师讲坛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FF0000"/>
                <w:sz w:val="24"/>
                <w:szCs w:val="24"/>
                <w:u w:val="none"/>
              </w:rPr>
            </w:pPr>
            <w:r>
              <w:rPr>
                <w:rFonts w:hint="eastAsia" w:ascii="仿宋_GB2312" w:hAnsi="宋体" w:eastAsia="仿宋_GB2312" w:cs="仿宋_GB2312"/>
                <w:i w:val="0"/>
                <w:color w:val="000000"/>
                <w:kern w:val="0"/>
                <w:sz w:val="24"/>
                <w:szCs w:val="24"/>
                <w:u w:val="none"/>
                <w:lang w:val="en-US" w:eastAsia="zh-CN" w:bidi="ar"/>
              </w:rPr>
              <w:t>福建船政交通职业学院船政讲坛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FF0000"/>
                <w:sz w:val="24"/>
                <w:szCs w:val="24"/>
                <w:u w:val="none"/>
              </w:rPr>
            </w:pPr>
            <w:r>
              <w:rPr>
                <w:rFonts w:hint="eastAsia" w:ascii="仿宋_GB2312" w:hAnsi="宋体" w:eastAsia="仿宋_GB2312" w:cs="仿宋_GB2312"/>
                <w:i w:val="0"/>
                <w:color w:val="000000"/>
                <w:kern w:val="0"/>
                <w:sz w:val="24"/>
                <w:szCs w:val="24"/>
                <w:u w:val="none"/>
                <w:lang w:val="en-US" w:eastAsia="zh-CN" w:bidi="ar"/>
              </w:rPr>
              <w:t>福建水利电力职业技术学院上善若水讲坛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福建林业职业技术学院天麟树人讲堂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福建农业职业技术学院相思岭讲坛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FF0000"/>
                <w:sz w:val="24"/>
                <w:szCs w:val="24"/>
                <w:u w:val="none"/>
              </w:rPr>
            </w:pPr>
            <w:r>
              <w:rPr>
                <w:rFonts w:hint="eastAsia" w:ascii="仿宋_GB2312" w:hAnsi="宋体" w:eastAsia="仿宋_GB2312" w:cs="仿宋_GB2312"/>
                <w:i w:val="0"/>
                <w:color w:val="000000"/>
                <w:kern w:val="0"/>
                <w:sz w:val="24"/>
                <w:szCs w:val="24"/>
                <w:u w:val="none"/>
                <w:lang w:val="en-US" w:eastAsia="zh-CN" w:bidi="ar"/>
              </w:rPr>
              <w:t>福建卫生职业技术学院马克思主义讲坛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闽江师范高等专科学校旗山大讲坛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黎明职业大学黎明讲堂</w:t>
            </w:r>
          </w:p>
        </w:tc>
      </w:tr>
    </w:tbl>
    <w:p>
      <w:pPr>
        <w:pStyle w:val="2"/>
        <w:ind w:left="0" w:leftChars="0" w:firstLine="0" w:firstLineChars="0"/>
        <w:rPr>
          <w:rFonts w:hint="eastAsia" w:ascii="黑体" w:hAnsi="黑体" w:eastAsia="黑体" w:cs="黑体"/>
          <w:kern w:val="2"/>
          <w:sz w:val="32"/>
          <w:szCs w:val="32"/>
          <w:lang w:val="en-US" w:eastAsia="zh-CN" w:bidi="ar-SA"/>
        </w:rPr>
      </w:pPr>
    </w:p>
    <w:p>
      <w:pPr>
        <w:pStyle w:val="2"/>
        <w:ind w:left="0" w:leftChars="0" w:firstLine="0" w:firstLineChars="0"/>
        <w:rPr>
          <w:rFonts w:hint="eastAsia" w:ascii="黑体" w:hAnsi="黑体" w:eastAsia="黑体" w:cs="黑体"/>
          <w:kern w:val="2"/>
          <w:sz w:val="32"/>
          <w:szCs w:val="32"/>
          <w:lang w:val="en-US" w:eastAsia="zh-CN" w:bidi="ar-SA"/>
        </w:rPr>
      </w:pPr>
    </w:p>
    <w:p>
      <w:pPr>
        <w:pStyle w:val="2"/>
        <w:ind w:left="0" w:leftChars="0" w:firstLine="0" w:firstLineChars="0"/>
        <w:rPr>
          <w:rFonts w:hint="eastAsia" w:ascii="黑体" w:hAnsi="黑体" w:eastAsia="黑体" w:cs="黑体"/>
          <w:kern w:val="2"/>
          <w:sz w:val="32"/>
          <w:szCs w:val="32"/>
          <w:lang w:val="en-US" w:eastAsia="zh-CN" w:bidi="ar-SA"/>
        </w:rPr>
      </w:pPr>
    </w:p>
    <w:p>
      <w:pPr>
        <w:pStyle w:val="2"/>
        <w:ind w:left="0" w:leftChars="0" w:firstLine="0" w:firstLineChars="0"/>
        <w:rPr>
          <w:rFonts w:hint="eastAsia" w:ascii="黑体" w:hAnsi="黑体" w:eastAsia="黑体" w:cs="黑体"/>
          <w:kern w:val="2"/>
          <w:sz w:val="32"/>
          <w:szCs w:val="32"/>
          <w:lang w:val="en-US" w:eastAsia="zh-CN" w:bidi="ar-SA"/>
        </w:rPr>
      </w:pPr>
    </w:p>
    <w:p>
      <w:pPr>
        <w:pStyle w:val="2"/>
        <w:ind w:left="0" w:leftChars="0" w:firstLine="0" w:firstLineChars="0"/>
        <w:rPr>
          <w:rFonts w:hint="eastAsia" w:ascii="黑体" w:hAnsi="黑体" w:eastAsia="黑体" w:cs="黑体"/>
          <w:kern w:val="2"/>
          <w:sz w:val="32"/>
          <w:szCs w:val="32"/>
          <w:lang w:val="en-US" w:eastAsia="zh-CN" w:bidi="ar-SA"/>
        </w:rPr>
      </w:pPr>
    </w:p>
    <w:p>
      <w:pPr>
        <w:pStyle w:val="2"/>
        <w:ind w:left="0" w:leftChars="0" w:firstLine="0" w:firstLineChars="0"/>
        <w:rPr>
          <w:rFonts w:hint="eastAsia" w:ascii="黑体" w:hAnsi="黑体" w:eastAsia="黑体" w:cs="黑体"/>
          <w:kern w:val="2"/>
          <w:sz w:val="32"/>
          <w:szCs w:val="32"/>
          <w:lang w:val="en-US" w:eastAsia="zh-CN" w:bidi="ar-SA"/>
        </w:rPr>
      </w:pPr>
    </w:p>
    <w:p>
      <w:pPr>
        <w:pStyle w:val="2"/>
        <w:ind w:left="0" w:leftChars="0" w:firstLine="0" w:firstLineChars="0"/>
        <w:rPr>
          <w:rFonts w:hint="eastAsia" w:ascii="黑体" w:hAnsi="黑体" w:eastAsia="黑体" w:cs="黑体"/>
          <w:kern w:val="2"/>
          <w:sz w:val="32"/>
          <w:szCs w:val="32"/>
          <w:lang w:val="en-US" w:eastAsia="zh-CN" w:bidi="ar-SA"/>
        </w:rPr>
      </w:pPr>
    </w:p>
    <w:p>
      <w:pPr>
        <w:pStyle w:val="2"/>
        <w:rPr>
          <w:rFonts w:hint="eastAsia"/>
          <w:lang w:val="en-US" w:eastAsia="zh-CN"/>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w:t>
      </w:r>
      <w:r>
        <w:rPr>
          <w:rFonts w:hint="eastAsia" w:ascii="仿宋_GB2312" w:hAnsi="仿宋_GB2312" w:eastAsia="仿宋_GB2312"/>
          <w:sz w:val="30"/>
          <w:szCs w:val="30"/>
          <w:lang w:eastAsia="zh-CN"/>
        </w:rPr>
        <w:t>此件</w:t>
      </w:r>
      <w:r>
        <w:rPr>
          <w:rFonts w:hint="eastAsia" w:ascii="仿宋_GB2312" w:hAnsi="仿宋_GB2312" w:eastAsia="仿宋_GB2312"/>
          <w:sz w:val="30"/>
          <w:szCs w:val="30"/>
        </w:rPr>
        <w:t>主动公开)</w:t>
      </w:r>
    </w:p>
    <w:p>
      <w:pPr>
        <w:pStyle w:val="2"/>
        <w:ind w:left="0" w:leftChars="0" w:firstLine="0" w:firstLineChars="0"/>
        <w:rPr>
          <w:rFonts w:hint="eastAsia"/>
        </w:rPr>
      </w:pPr>
      <w: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292735</wp:posOffset>
                </wp:positionV>
                <wp:extent cx="5600700" cy="635"/>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1pt;margin-top:23.05pt;height:0.05pt;width:441pt;z-index:251660288;mso-width-relative:page;mso-height-relative:page;" filled="f" stroked="t" coordsize="21600,21600" o:gfxdata="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L10dQAAAAI&#10;AQAADwAAAAAAAAABACAAAAAiAAAAZHJzL2Rvd25yZXYueG1sUEsBAhQAFAAAAAgAh07iQF3xT2Tn&#10;AQAArwMAAA4AAAAAAAAAAQAgAAAAIwEAAGRycy9lMm9Eb2MueG1sUEsFBgAAAAAGAAYAWQEAAHwF&#10;AAAAAA==&#10;">
                <v:fill on="f" focussize="0,0"/>
                <v:stroke weight="1.5pt"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210" w:firstLineChars="100"/>
        <w:jc w:val="left"/>
        <w:textAlignment w:val="auto"/>
      </w:pPr>
      <w: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461645</wp:posOffset>
                </wp:positionV>
                <wp:extent cx="5600700" cy="635"/>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254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6pt;margin-top:36.35pt;height:0.05pt;width:441pt;z-index:251661312;mso-width-relative:page;mso-height-relative:page;" filled="f" stroked="t" coordsize="21600,21600" o:gfxdata="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Ujb11QAA&#10;AAgBAAAPAAAAAAAAAAEAIAAAACIAAABkcnMvZG93bnJldi54bWxQSwECFAAUAAAACACHTuJAkYlP&#10;wugBAACvAwAADgAAAAAAAAABACAAAAAkAQAAZHJzL2Uyb0RvYy54bWxQSwUGAAAAAAYABgBZAQAA&#10;fgUAAAAA&#10;">
                <v:fill on="f" focussize="0,0"/>
                <v:stroke weight="2pt" color="#000000" joinstyle="round"/>
                <v:imagedata o:title=""/>
                <o:lock v:ext="edit" aspectratio="f"/>
              </v:shape>
            </w:pict>
          </mc:Fallback>
        </mc:AlternateContent>
      </w:r>
      <w:r>
        <w:rPr>
          <w:rFonts w:hint="eastAsia" w:ascii="仿宋_GB2312" w:eastAsia="仿宋_GB2312"/>
          <w:sz w:val="28"/>
          <w:szCs w:val="28"/>
        </w:rPr>
        <w:t>中共福建省委教育工委办公室</w:t>
      </w:r>
      <w:r>
        <w:rPr>
          <w:rFonts w:hint="eastAsia"/>
          <w:sz w:val="28"/>
          <w:szCs w:val="28"/>
        </w:rPr>
        <w:t xml:space="preserve">       </w:t>
      </w:r>
      <w:r>
        <w:rPr>
          <w:rFonts w:hint="eastAsia" w:eastAsia="宋体"/>
          <w:sz w:val="28"/>
          <w:szCs w:val="28"/>
          <w:lang w:val="en-US" w:eastAsia="zh-CN"/>
        </w:rPr>
        <w:t xml:space="preserve"> </w:t>
      </w:r>
      <w:r>
        <w:rPr>
          <w:rFonts w:hint="eastAsia"/>
          <w:sz w:val="28"/>
          <w:szCs w:val="28"/>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15</w:t>
      </w:r>
      <w:r>
        <w:rPr>
          <w:rFonts w:hint="eastAsia" w:ascii="仿宋_GB2312" w:eastAsia="仿宋_GB2312"/>
          <w:sz w:val="28"/>
          <w:szCs w:val="28"/>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11115"/>
    <w:rsid w:val="052F22F8"/>
    <w:rsid w:val="05D73C87"/>
    <w:rsid w:val="099849BF"/>
    <w:rsid w:val="0E674DFB"/>
    <w:rsid w:val="14F45B86"/>
    <w:rsid w:val="18295BD0"/>
    <w:rsid w:val="20AF6FB7"/>
    <w:rsid w:val="22241681"/>
    <w:rsid w:val="22CA782A"/>
    <w:rsid w:val="238922BA"/>
    <w:rsid w:val="23CC334C"/>
    <w:rsid w:val="255C783F"/>
    <w:rsid w:val="265F5632"/>
    <w:rsid w:val="2AE42421"/>
    <w:rsid w:val="342F3A4C"/>
    <w:rsid w:val="368823EB"/>
    <w:rsid w:val="37C11DEE"/>
    <w:rsid w:val="3BEC10D7"/>
    <w:rsid w:val="408E2BC0"/>
    <w:rsid w:val="40B2404C"/>
    <w:rsid w:val="40C13820"/>
    <w:rsid w:val="42084A6F"/>
    <w:rsid w:val="43710EF4"/>
    <w:rsid w:val="43FF20BE"/>
    <w:rsid w:val="4449761C"/>
    <w:rsid w:val="445E1D12"/>
    <w:rsid w:val="45492CA2"/>
    <w:rsid w:val="45C80E8C"/>
    <w:rsid w:val="4ABC6B9C"/>
    <w:rsid w:val="53055432"/>
    <w:rsid w:val="53663326"/>
    <w:rsid w:val="54DF3651"/>
    <w:rsid w:val="60974D9A"/>
    <w:rsid w:val="61124FF7"/>
    <w:rsid w:val="668F2E08"/>
    <w:rsid w:val="686D6B0B"/>
    <w:rsid w:val="6A48575E"/>
    <w:rsid w:val="6C614BE2"/>
    <w:rsid w:val="6D7E1526"/>
    <w:rsid w:val="6D974009"/>
    <w:rsid w:val="72876291"/>
    <w:rsid w:val="7495536B"/>
    <w:rsid w:val="75013704"/>
    <w:rsid w:val="79194C26"/>
    <w:rsid w:val="7AEC6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zsh</dc:creator>
  <cp:lastModifiedBy>纶</cp:lastModifiedBy>
  <dcterms:modified xsi:type="dcterms:W3CDTF">2019-10-15T03:55:35Z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