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竞争性磋商文件</w:t>
      </w:r>
    </w:p>
    <w:p>
      <w:pPr>
        <w:pStyle w:val="null3"/>
        <w:jc w:val="center"/>
        <w:outlineLvl w:val="0"/>
      </w:pPr>
      <w:r>
        <w:rPr>
          <w:sz w:val="48"/>
          <w:b/>
        </w:rPr>
        <w:t>（服务类）</w:t>
      </w:r>
    </w:p>
    <w:p>
      <w:pPr>
        <w:pStyle w:val="null3"/>
        <w:jc w:val="center"/>
        <w:outlineLvl w:val="2"/>
      </w:pPr>
      <w:r>
        <w:rPr>
          <w:sz w:val="28"/>
          <w:b/>
        </w:rPr>
        <w:t>项目名称：</w:t>
      </w:r>
      <w:r>
        <w:rPr>
          <w:sz w:val="28"/>
          <w:b/>
        </w:rPr>
        <w:t>泉州师范学院2024年2021级软件工程专业实训实习服务</w:t>
      </w:r>
    </w:p>
    <w:p>
      <w:pPr>
        <w:pStyle w:val="null3"/>
        <w:jc w:val="center"/>
        <w:outlineLvl w:val="2"/>
      </w:pPr>
      <w:r>
        <w:rPr>
          <w:sz w:val="28"/>
          <w:b/>
        </w:rPr>
        <w:t>备案编号：</w:t>
      </w:r>
      <w:r>
        <w:rPr>
          <w:sz w:val="28"/>
          <w:b/>
        </w:rPr>
        <w:t>CGXM-2024-350501-02375[2024]01641</w:t>
      </w:r>
    </w:p>
    <w:p>
      <w:pPr>
        <w:pStyle w:val="null3"/>
        <w:jc w:val="center"/>
        <w:outlineLvl w:val="2"/>
      </w:pPr>
      <w:r>
        <w:rPr>
          <w:sz w:val="28"/>
          <w:b/>
        </w:rPr>
        <w:t>项目编号：</w:t>
      </w:r>
      <w:r>
        <w:rPr>
          <w:sz w:val="28"/>
          <w:b/>
        </w:rPr>
        <w:t>[350501]QZJL[CS]2024003</w:t>
      </w:r>
    </w:p>
    <w:p>
      <w:pPr>
        <w:pStyle w:val="null3"/>
        <w:jc w:val="center"/>
        <w:outlineLvl w:val="2"/>
      </w:pPr>
      <w:r>
        <w:rPr>
          <w:sz w:val="28"/>
          <w:b/>
        </w:rPr>
        <w:t>采购人：</w:t>
      </w:r>
      <w:r>
        <w:rPr>
          <w:sz w:val="28"/>
          <w:b/>
        </w:rPr>
        <w:t>泉州师范学院</w:t>
      </w:r>
    </w:p>
    <w:p>
      <w:pPr>
        <w:pStyle w:val="null3"/>
        <w:jc w:val="center"/>
        <w:outlineLvl w:val="2"/>
      </w:pPr>
      <w:r>
        <w:rPr>
          <w:sz w:val="28"/>
          <w:b/>
        </w:rPr>
        <w:t>代理机构：</w:t>
      </w:r>
      <w:r>
        <w:rPr>
          <w:sz w:val="28"/>
          <w:b/>
        </w:rPr>
        <w:t>泉州市嘉隆招标代理有限公司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采购邀请书</w:t>
      </w:r>
    </w:p>
    <w:p>
      <w:pPr>
        <w:pStyle w:val="null3"/>
        <w:jc w:val="center"/>
      </w:pPr>
      <w:r>
        <w:rPr>
          <w:b/>
        </w:rPr>
        <w:t>竞争性磋商采购公告</w:t>
      </w:r>
    </w:p>
    <w:p>
      <w:pPr>
        <w:pStyle w:val="null3"/>
        <w:ind w:firstLine="480"/>
        <w:jc w:val="left"/>
      </w:pPr>
      <w:r>
        <w:rPr/>
        <w:t>泉州师范学院</w:t>
      </w:r>
      <w:r>
        <w:rPr/>
        <w:t xml:space="preserve"> 已根据政府采购相关法律法规，经相应程序确定采用 竞争性磋商 方式组织 </w:t>
      </w:r>
      <w:r>
        <w:rPr/>
        <w:t>泉州师范学院2024年2021级软件工程专业实训实习服务</w:t>
      </w:r>
      <w:r>
        <w:rPr/>
        <w:t xml:space="preserve"> 项目（以下简称：“本项目”）的政府采购活动， </w:t>
      </w:r>
      <w:r>
        <w:rPr/>
        <w:t>现欢迎国内合格的供应商前来参加。</w:t>
      </w:r>
      <w:r>
        <w:rPr/>
        <w:t xml:space="preserve"> 本项目由采购人委托 </w:t>
      </w:r>
      <w:r>
        <w:rPr/>
        <w:t>泉州市嘉隆招标代理有限公司</w:t>
      </w:r>
      <w:r>
        <w:rPr/>
        <w:t xml:space="preserve"> 开展竞争性磋商活动。</w:t>
      </w:r>
    </w:p>
    <w:p>
      <w:pPr>
        <w:pStyle w:val="null3"/>
        <w:ind w:firstLine="480"/>
        <w:jc w:val="left"/>
        <w:outlineLvl w:val="2"/>
      </w:pPr>
      <w:r>
        <w:rPr>
          <w:sz w:val="28"/>
          <w:b/>
        </w:rPr>
        <w:t>1.项目名称</w:t>
      </w:r>
      <w:r>
        <w:rPr>
          <w:sz w:val="28"/>
          <w:b/>
        </w:rPr>
        <w:t xml:space="preserve">： </w:t>
      </w:r>
      <w:r>
        <w:rPr>
          <w:sz w:val="28"/>
          <w:b/>
        </w:rPr>
        <w:t>泉州师范学院2024年2021级软件工程专业实训实习服务</w:t>
      </w:r>
    </w:p>
    <w:p>
      <w:pPr>
        <w:pStyle w:val="null3"/>
        <w:ind w:firstLine="480"/>
        <w:jc w:val="left"/>
        <w:outlineLvl w:val="2"/>
      </w:pPr>
      <w:r>
        <w:rPr>
          <w:sz w:val="28"/>
          <w:b/>
        </w:rPr>
        <w:t>2.备案编号</w:t>
      </w:r>
      <w:r>
        <w:rPr>
          <w:sz w:val="28"/>
          <w:b/>
        </w:rPr>
        <w:t xml:space="preserve">： </w:t>
      </w:r>
      <w:r>
        <w:rPr>
          <w:sz w:val="28"/>
          <w:b/>
        </w:rPr>
        <w:t>CGXM-2024-350501-02375[2024]01641</w:t>
      </w:r>
    </w:p>
    <w:p>
      <w:pPr>
        <w:pStyle w:val="null3"/>
        <w:ind w:firstLine="480"/>
        <w:jc w:val="left"/>
        <w:outlineLvl w:val="2"/>
      </w:pPr>
      <w:r>
        <w:rPr>
          <w:sz w:val="28"/>
          <w:b/>
        </w:rPr>
        <w:t>3.项目编号</w:t>
      </w:r>
      <w:r>
        <w:rPr>
          <w:sz w:val="28"/>
          <w:b/>
        </w:rPr>
        <w:t xml:space="preserve">： </w:t>
      </w:r>
      <w:r>
        <w:rPr>
          <w:sz w:val="28"/>
          <w:b/>
        </w:rPr>
        <w:t>[350501]QZJL[CS]2024003</w:t>
      </w:r>
    </w:p>
    <w:p>
      <w:pPr>
        <w:pStyle w:val="null3"/>
        <w:ind w:firstLine="480"/>
        <w:jc w:val="left"/>
        <w:outlineLvl w:val="2"/>
      </w:pPr>
      <w:r>
        <w:rPr>
          <w:sz w:val="28"/>
          <w:b/>
        </w:rPr>
        <w:t>4.采购内容及要求：</w:t>
      </w:r>
    </w:p>
    <w:p>
      <w:pPr>
        <w:pStyle w:val="null3"/>
        <w:ind w:firstLine="960"/>
        <w:jc w:val="left"/>
      </w:pPr>
      <w:r>
        <w:rPr/>
        <w:t>采购包1：</w:t>
      </w:r>
    </w:p>
    <w:p>
      <w:pPr>
        <w:pStyle w:val="null3"/>
        <w:jc w:val="left"/>
      </w:pPr>
      <w:r>
        <w:rPr/>
        <w:t>采购包预算金额（元）: 958,300.00</w:t>
      </w:r>
    </w:p>
    <w:p>
      <w:pPr>
        <w:pStyle w:val="null3"/>
        <w:jc w:val="left"/>
      </w:pPr>
      <w:r>
        <w:rPr/>
        <w:t>采购包最高限价（元）: 958,300.00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2021级软件工程专业实训实习服务</w:t>
            </w:r>
          </w:p>
        </w:tc>
        <w:tc>
          <w:tcPr>
            <w:tcW w:type="dxa" w:w="1187"/>
          </w:tcPr>
          <w:p>
            <w:pPr>
              <w:pStyle w:val="null3"/>
              <w:jc w:val="right"/>
            </w:pPr>
            <w:r>
              <w:rPr/>
              <w:t>1.00</w:t>
            </w:r>
          </w:p>
        </w:tc>
        <w:tc>
          <w:tcPr>
            <w:tcW w:type="dxa" w:w="1187"/>
          </w:tcPr>
          <w:p>
            <w:pPr>
              <w:pStyle w:val="null3"/>
              <w:jc w:val="right"/>
            </w:pPr>
            <w:r>
              <w:rPr/>
              <w:t>958,300.00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2021级软件工程专业实训实习服务</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958,300.00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2021级软件工程专业实训实习服务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2021级软件工程专业实训实习服务</w:t>
            </w:r>
          </w:p>
        </w:tc>
        <w:tc>
          <w:tcPr>
            <w:tcW w:type="dxa" w:w="2076"/>
          </w:tcPr>
          <w:p>
            <w:pPr>
              <w:pStyle w:val="null3"/>
              <w:jc w:val="left"/>
            </w:pPr>
            <w:r>
              <w:rPr/>
              <w:t>2021级软件工程专业实训实习服务</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958,300.00</w:t>
            </w:r>
          </w:p>
        </w:tc>
        <w:tc>
          <w:tcPr>
            <w:tcW w:type="dxa" w:w="831"/>
          </w:tcPr>
          <w:p>
            <w:pPr>
              <w:pStyle w:val="null3"/>
              <w:jc w:val="left"/>
            </w:pPr>
            <w:r>
              <w:rPr/>
              <w:t>总价</w:t>
            </w:r>
          </w:p>
        </w:tc>
        <w:tc>
          <w:tcPr>
            <w:tcW w:type="dxa" w:w="1246"/>
          </w:tcPr>
          <w:p>
            <w:pPr>
              <w:pStyle w:val="null3"/>
              <w:jc w:val="left"/>
            </w:pPr>
            <w:r>
              <w:rPr/>
              <w:t>无</w:t>
            </w:r>
          </w:p>
        </w:tc>
      </w:tr>
    </w:tbl>
    <w:p>
      <w:pPr>
        <w:pStyle w:val="null3"/>
        <w:ind w:firstLine="480"/>
        <w:jc w:val="left"/>
        <w:outlineLvl w:val="2"/>
      </w:pPr>
      <w:r>
        <w:rPr>
          <w:sz w:val="28"/>
          <w:b/>
        </w:rPr>
        <w:t>5.采购项目需要落实的政府采购政策：</w:t>
      </w:r>
    </w:p>
    <w:p>
      <w:pPr>
        <w:pStyle w:val="null3"/>
        <w:ind w:firstLine="960"/>
        <w:jc w:val="left"/>
      </w:pPr>
      <w:r>
        <w:rPr/>
        <w:t>进口产品：</w:t>
      </w:r>
      <w:r>
        <w:rPr/>
        <w:t>不适用本项目</w:t>
      </w:r>
    </w:p>
    <w:p>
      <w:pPr>
        <w:pStyle w:val="null3"/>
        <w:ind w:firstLine="960"/>
        <w:jc w:val="left"/>
      </w:pPr>
      <w:r>
        <w:rPr/>
        <w:t>节能产品：</w:t>
      </w:r>
      <w:r>
        <w:rPr/>
        <w:t>不适用本项目</w:t>
      </w:r>
    </w:p>
    <w:p>
      <w:pPr>
        <w:pStyle w:val="null3"/>
        <w:ind w:firstLine="960"/>
        <w:jc w:val="left"/>
      </w:pPr>
      <w:r>
        <w:rPr/>
        <w:t>环境标志产品：</w:t>
      </w:r>
      <w:r>
        <w:rPr/>
        <w:t>不适用本项目</w:t>
      </w:r>
    </w:p>
    <w:p>
      <w:pPr>
        <w:pStyle w:val="null3"/>
        <w:ind w:firstLine="960"/>
        <w:jc w:val="left"/>
      </w:pPr>
      <w:r>
        <w:rPr/>
        <w:t>促进中小企业发展的相关政策：</w:t>
      </w:r>
    </w:p>
    <w:p>
      <w:pPr>
        <w:pStyle w:val="null3"/>
        <w:ind w:firstLine="960"/>
        <w:jc w:val="left"/>
      </w:pPr>
      <w:r>
        <w:rPr/>
        <w:t>采购包1：设置专门采购包</w:t>
      </w:r>
    </w:p>
    <w:p>
      <w:pPr>
        <w:pStyle w:val="null3"/>
        <w:jc w:val="left"/>
      </w:pPr>
      <w:r>
        <w:rPr/>
        <w:t>面向的企业规模：</w:t>
      </w:r>
      <w:r>
        <w:rPr/>
        <w:t>中小企业</w:t>
      </w:r>
    </w:p>
    <w:p>
      <w:pPr>
        <w:pStyle w:val="null3"/>
        <w:jc w:val="left"/>
      </w:pPr>
      <w:r>
        <w:rPr/>
        <w:t>预留形式：</w:t>
      </w:r>
      <w:r>
        <w:rPr/>
        <w:t>设置专门采购包</w:t>
      </w:r>
    </w:p>
    <w:p>
      <w:pPr>
        <w:pStyle w:val="null3"/>
        <w:jc w:val="left"/>
      </w:pPr>
      <w:r>
        <w:rPr/>
        <w:t>预留比例：</w:t>
      </w:r>
      <w:r>
        <w:rPr/>
        <w:t>100%</w:t>
      </w:r>
    </w:p>
    <w:p>
      <w:pPr>
        <w:pStyle w:val="null3"/>
        <w:ind w:firstLine="480"/>
        <w:jc w:val="left"/>
        <w:outlineLvl w:val="2"/>
      </w:pPr>
      <w:r>
        <w:rPr>
          <w:sz w:val="28"/>
          <w:b/>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sz w:val="28"/>
          <w:b/>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sz w:val="28"/>
          <w:b/>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泉州师范学院</w:t>
      </w:r>
    </w:p>
    <w:p>
      <w:pPr>
        <w:pStyle w:val="null3"/>
        <w:ind w:firstLine="960"/>
        <w:jc w:val="left"/>
      </w:pPr>
      <w:r>
        <w:rPr/>
        <w:t xml:space="preserve"> 地址： </w:t>
      </w:r>
      <w:r>
        <w:rPr/>
        <w:t>泉州市丰泽区东海大街398号</w:t>
      </w:r>
    </w:p>
    <w:p>
      <w:pPr>
        <w:pStyle w:val="null3"/>
        <w:jc w:val="left"/>
      </w:pPr>
      <w:r>
        <w:rPr/>
        <w:t xml:space="preserve"> 邮编： </w:t>
      </w:r>
      <w:r>
        <w:rPr/>
        <w:t>362000</w:t>
      </w:r>
    </w:p>
    <w:p>
      <w:pPr>
        <w:pStyle w:val="null3"/>
        <w:jc w:val="left"/>
      </w:pPr>
      <w:r>
        <w:rPr/>
        <w:t xml:space="preserve"> 联系人： </w:t>
      </w:r>
      <w:r>
        <w:rPr/>
        <w:t>陈燕青</w:t>
      </w:r>
    </w:p>
    <w:p>
      <w:pPr>
        <w:pStyle w:val="null3"/>
        <w:jc w:val="left"/>
      </w:pPr>
      <w:r>
        <w:rPr/>
        <w:t xml:space="preserve"> 联系电话： </w:t>
      </w:r>
      <w:r>
        <w:rPr/>
        <w:t>0595-22919532</w:t>
      </w:r>
    </w:p>
    <w:p>
      <w:pPr>
        <w:pStyle w:val="null3"/>
        <w:ind w:firstLine="480"/>
        <w:jc w:val="left"/>
        <w:outlineLvl w:val="2"/>
      </w:pPr>
      <w:r>
        <w:rPr>
          <w:sz w:val="28"/>
          <w:b/>
        </w:rPr>
        <w:t>14、代理机构</w:t>
      </w:r>
      <w:r>
        <w:rPr>
          <w:sz w:val="28"/>
          <w:b/>
        </w:rPr>
        <w:t>：</w:t>
      </w:r>
      <w:r>
        <w:rPr>
          <w:sz w:val="28"/>
          <w:b/>
        </w:rPr>
        <w:t>泉州市嘉隆招标代理有限公司</w:t>
      </w:r>
    </w:p>
    <w:p>
      <w:pPr>
        <w:pStyle w:val="null3"/>
        <w:ind w:firstLine="960"/>
        <w:jc w:val="left"/>
      </w:pPr>
      <w:r>
        <w:rPr/>
        <w:t xml:space="preserve"> 地址： </w:t>
      </w:r>
      <w:r>
        <w:rPr/>
        <w:t>福建省泉州市丰泽区大山边路71号一、二层</w:t>
      </w:r>
    </w:p>
    <w:p>
      <w:pPr>
        <w:pStyle w:val="null3"/>
        <w:jc w:val="left"/>
      </w:pPr>
      <w:r>
        <w:rPr/>
        <w:t xml:space="preserve"> 邮编： </w:t>
      </w:r>
      <w:r>
        <w:rPr/>
        <w:t>362000</w:t>
      </w:r>
    </w:p>
    <w:p>
      <w:pPr>
        <w:pStyle w:val="null3"/>
        <w:jc w:val="left"/>
      </w:pPr>
      <w:r>
        <w:rPr/>
        <w:t xml:space="preserve"> 联系人： </w:t>
      </w:r>
      <w:r>
        <w:rPr/>
        <w:t>张伟军、郭庭花、施秀春</w:t>
      </w:r>
    </w:p>
    <w:p>
      <w:pPr>
        <w:pStyle w:val="null3"/>
        <w:jc w:val="left"/>
      </w:pPr>
      <w:r>
        <w:rPr/>
        <w:t xml:space="preserve"> 联系电话： </w:t>
      </w:r>
      <w:r>
        <w:rPr/>
        <w:t>22795666</w:t>
      </w:r>
    </w:p>
    <w:p>
      <w:pPr>
        <w:pStyle w:val="null3"/>
        <w:jc w:val="left"/>
        <w:outlineLvl w:val="2"/>
      </w:pPr>
      <w:r>
        <w:rPr>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泉州市嘉隆招标代理有限公司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sz w:val="36"/>
          <w:b/>
        </w:rPr>
        <w:t>第二章 竞争性磋商须知</w:t>
      </w:r>
    </w:p>
    <w:p>
      <w:pPr>
        <w:pStyle w:val="null3"/>
        <w:jc w:val="center"/>
        <w:outlineLvl w:val="2"/>
      </w:pPr>
      <w:r>
        <w:rPr>
          <w:sz w:val="28"/>
          <w:b/>
        </w:rPr>
        <w:t>第1节 竞争性磋商须知前附表（表1、表2）</w:t>
      </w:r>
    </w:p>
    <w:p>
      <w:pPr>
        <w:pStyle w:val="null3"/>
        <w:jc w:val="center"/>
        <w:outlineLvl w:val="3"/>
      </w:pPr>
      <w:r>
        <w:rPr>
          <w:sz w:val="24"/>
          <w:b/>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无</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泉州市财政局政府采购监督管理办公室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代理服务费收费标准：按差额定率累进法计算，100万以下按1.5%。代理服务费收取方式：可用支票、汇票、电汇等付款方式一次性缴清。服务费缴交账户: 开户行：中国民生银行泉州分行营业部 帐号：2301012830009195 收款人：泉州市嘉隆招标代理有限公司 电子邮箱：qzjlzbdl@163.com</w:t>
            </w:r>
          </w:p>
          <w:p>
            <w:pPr>
              <w:pStyle w:val="null3"/>
              <w:jc w:val="left"/>
            </w:pPr>
            <w:r>
              <w:rPr/>
              <w:t xml:space="preserve"> (2)其他：</w:t>
            </w:r>
          </w:p>
          <w:p>
            <w:pPr>
              <w:pStyle w:val="null3"/>
              <w:jc w:val="left"/>
            </w:pPr>
            <w:r>
              <w:rPr/>
              <w:t>1、本项目支持“远程不见面开标”，供应商可选择是否前往开标现场，若选择不前往开标现场，应确保自身设施、设备、网络环境状况良好，在开标时自行登录采购系统，线上观看开标流程，并按规定在开标时段对磋商响应文件进行远程解密、远程签章。供应商因自身原因造成无法正常观看开标流程、远程解密或签章的，后果由供应商自行承担；在规定的时限内正确提交电子磋商响应文件的供应商在开标时将由系统判定签到情况，具体信息以福建省政府采购网上公开信息系统所示为准；供应商应在远程解密开启后30分钟内使用CA数字证书进行响应文件的解密操作，逾期未解密的视为放弃磋商。最后报价开启后，合格供应商应在规定时限内使用CA数字证书进行最后报价操作，逾期未报价的视为放弃磋商。二次报价或澄清（若有）开启后，供应商须在规定的时限内及时响应，逾期未响应的视为放弃磋商或澄清（若有）。 2、质疑受理的其它要求： ①质疑人线下提交书面质疑的，质疑书还应包括：a、质疑人已在福建省政府采购网上公开信息系统上已对本项目进行报名的证明文件（体现报名时间），否则将不被认定为潜在供应商【磋商文件首次下载之日为质疑人在福建省政府采购网上公开信息系统成功报名之日】；b、质疑人为法人或其他组织的，质疑函需逐页加盖质疑人单位公章；若本项目接受自然人投标且质疑人为自然人的，质疑函需质疑人本人逐页签名。②在法定质疑期内供应商须一次性提出针对同一采购程序环节的质疑，二（多）次质疑不予受理，采购代理机构或采购人只针对第一次有效质疑进行答复。③供应商对本项目竞争性磋商文件有任何疑议或不认同之处，需在法定时间内按规定以书面方式【接收地点为：泉州市丰泽区大山边路71号二层（电话：0595-22795666)】提出质疑，否则视为供应 商接受竞争性磋商文件的规定。 ④财政部出台的政府采购供应商质疑函范本下载网址为：http://gks.mof.gov.cn/ztztz/zhengfucaigouguanli/201802/t20180201_2804589.htm。</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自中标通知书发出之日起20个日历日内。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a.响应文件关于响应供应商串通投标情形条款详见《关于福建省财政厅关于电子化政府采购项目中视为串标情形认定与处理的指导意见》闽财购〔2018〕30 号文件规定。b.在电子响应文件中，涉及“单位负责人签字”的内容可使用打字录入方式完成，视为响应竞争性磋商文件要求。</w:t>
            </w:r>
          </w:p>
          <w:p>
            <w:pPr>
              <w:pStyle w:val="null3"/>
              <w:jc w:val="left"/>
            </w:pPr>
            <w:r>
              <w:rPr/>
              <w:t>（与电子竞争性磋商活动有关的其他规定或补充内容可在此处填写）。</w:t>
            </w:r>
          </w:p>
        </w:tc>
      </w:tr>
    </w:tbl>
    <w:p>
      <w:pPr>
        <w:pStyle w:val="null3"/>
        <w:jc w:val="center"/>
        <w:outlineLvl w:val="2"/>
      </w:pPr>
      <w:r>
        <w:rPr>
          <w:sz w:val="28"/>
          <w:b/>
        </w:rPr>
        <w:t>专项附件： 评审的标准和方法</w:t>
      </w:r>
    </w:p>
    <w:p>
      <w:pPr>
        <w:pStyle w:val="null3"/>
        <w:jc w:val="center"/>
        <w:outlineLvl w:val="2"/>
      </w:pPr>
      <w:r>
        <w:rPr>
          <w:sz w:val="28"/>
          <w:b/>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sz w:val="28"/>
          <w:b/>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sz w:val="28"/>
          <w:b/>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满分为10.0000分</w:t>
      </w:r>
    </w:p>
    <w:p>
      <w:pPr>
        <w:pStyle w:val="null3"/>
        <w:jc w:val="left"/>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t>技术部分评分PT 满分为76.0000分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1、技术和服务要求响应情况</w:t>
            </w:r>
          </w:p>
        </w:tc>
        <w:tc>
          <w:tcPr>
            <w:tcW w:type="dxa" w:w="831"/>
          </w:tcPr>
          <w:p>
            <w:pPr>
              <w:pStyle w:val="null3"/>
              <w:jc w:val="right"/>
            </w:pPr>
            <w:r>
              <w:rPr/>
              <w:t>25.0000</w:t>
            </w:r>
          </w:p>
        </w:tc>
        <w:tc>
          <w:tcPr>
            <w:tcW w:type="dxa" w:w="4153"/>
          </w:tcPr>
          <w:p>
            <w:pPr>
              <w:pStyle w:val="null3"/>
              <w:jc w:val="left"/>
            </w:pPr>
            <w:r>
              <w:rPr/>
              <w:t>（1）根据各供应商对《磋商文件》“第三章 采购内容及要求 二、技术要求”中的各项要求逐项响应情况由评标小组进行评分：全部满足磋商文件要求的得25分。①标注“★”的内容为关键性技术条款（共2项），每负偏离或不响应一项视为无效投标；②标注“■”的内容为重要技术条款项（共12项），每负偏离一项1.5扣分；③其它未作标注的（共14项），每负偏离一项扣0.5分。 （2）磋商文件中技术指标若有要求提供相应佐证材料的，未提供相应佐证材料或者供应商的响应承诺与其佐证材料不一致的，磋商小组将以不利于供应商的内容为准进行评审（负偏离）。</w:t>
            </w:r>
          </w:p>
        </w:tc>
      </w:tr>
      <w:tr>
        <w:tc>
          <w:tcPr>
            <w:tcW w:type="dxa" w:w="3322"/>
          </w:tcPr>
          <w:p>
            <w:pPr>
              <w:pStyle w:val="null3"/>
              <w:jc w:val="left"/>
            </w:pPr>
            <w:r>
              <w:rPr/>
              <w:t>2、软件开发方向教学大纲与授课计划及案例资源</w:t>
            </w:r>
          </w:p>
        </w:tc>
        <w:tc>
          <w:tcPr>
            <w:tcW w:type="dxa" w:w="831"/>
          </w:tcPr>
          <w:p>
            <w:pPr>
              <w:pStyle w:val="null3"/>
              <w:jc w:val="right"/>
            </w:pPr>
            <w:r>
              <w:rPr/>
              <w:t>3.0000</w:t>
            </w:r>
          </w:p>
        </w:tc>
        <w:tc>
          <w:tcPr>
            <w:tcW w:type="dxa" w:w="4153"/>
          </w:tcPr>
          <w:p>
            <w:pPr>
              <w:pStyle w:val="null3"/>
              <w:jc w:val="left"/>
            </w:pPr>
            <w:r>
              <w:rPr/>
              <w:t>根据供应商针对软件开发方向提供《软件新技术》、《软件工程综合实训》两门课程的教学大纲与授课计划（其中《软件工程综合实训》至少提供一个综合案例，提供完整案例资源，包括实践任务书、实验手册、项目指导书，源代码，相关数据库或数据集等）进行评议： ①授课计划内容全面、课时安排合理、可行性强；教学目标、教学内容与教学过程设计浑然一体、系统性强、条理清晰、对实训方向能力培养提出针对性措施，培养的人才能够适应社会经济和科学技术发展及行业岗位需求的得3分； ②授课计划内容全面、课时安排合理；教学目标、教学内容与教学过程设计有一定的条理性，对实训方向能力培养有提出针对性措施，但措施方案不够具体或实操性不足，经评委评议基本能够适应社会经济和科学技术发展及行业岗位需求的得2分； ③仅提供教学大纲与授课计划，内容不够完善，或计划安排缺乏合理性，或实操性不足的得1分。 ④未提供不得分。</w:t>
            </w:r>
          </w:p>
        </w:tc>
      </w:tr>
      <w:tr>
        <w:tc>
          <w:tcPr>
            <w:tcW w:type="dxa" w:w="3322"/>
          </w:tcPr>
          <w:p>
            <w:pPr>
              <w:pStyle w:val="null3"/>
              <w:jc w:val="left"/>
            </w:pPr>
            <w:r>
              <w:rPr/>
              <w:t>3、人工智能方向教学大纲与授课计划及案例资源</w:t>
            </w:r>
          </w:p>
        </w:tc>
        <w:tc>
          <w:tcPr>
            <w:tcW w:type="dxa" w:w="831"/>
          </w:tcPr>
          <w:p>
            <w:pPr>
              <w:pStyle w:val="null3"/>
              <w:jc w:val="right"/>
            </w:pPr>
            <w:r>
              <w:rPr/>
              <w:t>3.0000</w:t>
            </w:r>
          </w:p>
        </w:tc>
        <w:tc>
          <w:tcPr>
            <w:tcW w:type="dxa" w:w="4153"/>
          </w:tcPr>
          <w:p>
            <w:pPr>
              <w:pStyle w:val="null3"/>
              <w:jc w:val="left"/>
            </w:pPr>
            <w:r>
              <w:rPr/>
              <w:t>根据供应商针对人工智能方向提供《软件新技术》、《软件工程综合实训》两门课程的教学大纲与授课计划（其中《软件工程综合实训》至少提供一个综合案例，提供完整案例资源，包括实践任务书、实验手册、项目指导书，源代码，相关数据库或数据集等）进行评议： ①授课计划内容全面、课时安排合理、可行性强；教学目标、教学内容与教学过程设计浑然一体、系统性强、条理清晰、对实训方向能力培养提出针对性措施，培养的人才能够适应社会经济和科学技术发展及行业岗位需求的得3分； ②授课计划内容全面、课时安排合理；教学目标、教学内容与教学过程设计有一定的条理性，对实训方向能力培养有提出针对性措施，但措施方案不够具体或实操性不足，经评委评议基本能够适应社会经济和科学技术发展及行业岗位需求的得2分； ③仅提供教学大纲与授课计划，内容不够完善，或计划安排缺乏合理性，或实操性不足的得1分。 ④未提供不得分。</w:t>
            </w:r>
          </w:p>
        </w:tc>
      </w:tr>
      <w:tr>
        <w:tc>
          <w:tcPr>
            <w:tcW w:type="dxa" w:w="3322"/>
          </w:tcPr>
          <w:p>
            <w:pPr>
              <w:pStyle w:val="null3"/>
              <w:jc w:val="left"/>
            </w:pPr>
            <w:r>
              <w:rPr/>
              <w:t>4、虚拟现实方向教学大纲与授课计划及案例资源</w:t>
            </w:r>
          </w:p>
        </w:tc>
        <w:tc>
          <w:tcPr>
            <w:tcW w:type="dxa" w:w="831"/>
          </w:tcPr>
          <w:p>
            <w:pPr>
              <w:pStyle w:val="null3"/>
              <w:jc w:val="right"/>
            </w:pPr>
            <w:r>
              <w:rPr/>
              <w:t>3.0000</w:t>
            </w:r>
          </w:p>
        </w:tc>
        <w:tc>
          <w:tcPr>
            <w:tcW w:type="dxa" w:w="4153"/>
          </w:tcPr>
          <w:p>
            <w:pPr>
              <w:pStyle w:val="null3"/>
              <w:jc w:val="left"/>
            </w:pPr>
            <w:r>
              <w:rPr/>
              <w:t>根据供应商针对虚拟现实方向提供《软件新技术》、《软件工程综合实训》两门课程的教学大纲与授课计划（其中《软件工程综合实训》至少提供一个综合案例，提供完整案例资源，包括实践任务书、实验手册、项目指导书，源代码，相关数据库或数据集等）进行评议： ①授课计划内容全面、课时安排合理、可行性强；教学目标、教学内容与教学过程设计浑然一体、系统性强、条理清晰、对实训方向能力培养提出针对性措施，培养的人才能够适应社会经济和科学技术发展及行业岗位需求的得3分； ②授课计划内容全面、课时安排合理；教学目标、教学内容与教学过程设计有一定的条理性，对实训方向能力培养有提出针对性措施，但措施方案不够具体或实操性不足，经评委评议基本能够适应社会经济和科学技术发展及行业岗位需求的得2分； ③仅提供教学大纲与授课计划，内容不够完善，或计划安排缺乏合理性，或实操性不足的得1分。 ④未提供不得分。</w:t>
            </w:r>
          </w:p>
        </w:tc>
      </w:tr>
      <w:tr>
        <w:tc>
          <w:tcPr>
            <w:tcW w:type="dxa" w:w="3322"/>
          </w:tcPr>
          <w:p>
            <w:pPr>
              <w:pStyle w:val="null3"/>
              <w:jc w:val="left"/>
            </w:pPr>
            <w:r>
              <w:rPr/>
              <w:t>5、特色化教学（软件开发方向）</w:t>
            </w:r>
          </w:p>
        </w:tc>
        <w:tc>
          <w:tcPr>
            <w:tcW w:type="dxa" w:w="831"/>
          </w:tcPr>
          <w:p>
            <w:pPr>
              <w:pStyle w:val="null3"/>
              <w:jc w:val="right"/>
            </w:pPr>
            <w:r>
              <w:rPr/>
              <w:t>2.0000</w:t>
            </w:r>
          </w:p>
        </w:tc>
        <w:tc>
          <w:tcPr>
            <w:tcW w:type="dxa" w:w="4153"/>
          </w:tcPr>
          <w:p>
            <w:pPr>
              <w:pStyle w:val="null3"/>
              <w:jc w:val="left"/>
            </w:pPr>
            <w:r>
              <w:rPr/>
              <w:t>提供工业软件案例及详细的案例实训手册。 能够完整提供以上特色化教学资料的得2分；能够部分提供以上特色化教学资料的得1分；不能提供以上特色化教学资料的得0分。</w:t>
            </w:r>
          </w:p>
        </w:tc>
      </w:tr>
      <w:tr>
        <w:tc>
          <w:tcPr>
            <w:tcW w:type="dxa" w:w="3322"/>
          </w:tcPr>
          <w:p>
            <w:pPr>
              <w:pStyle w:val="null3"/>
              <w:jc w:val="left"/>
            </w:pPr>
            <w:r>
              <w:rPr/>
              <w:t>5、特色化教学（人工智能方向）</w:t>
            </w:r>
          </w:p>
        </w:tc>
        <w:tc>
          <w:tcPr>
            <w:tcW w:type="dxa" w:w="831"/>
          </w:tcPr>
          <w:p>
            <w:pPr>
              <w:pStyle w:val="null3"/>
              <w:jc w:val="right"/>
            </w:pPr>
            <w:r>
              <w:rPr/>
              <w:t>2.0000</w:t>
            </w:r>
          </w:p>
        </w:tc>
        <w:tc>
          <w:tcPr>
            <w:tcW w:type="dxa" w:w="4153"/>
          </w:tcPr>
          <w:p>
            <w:pPr>
              <w:pStyle w:val="null3"/>
              <w:jc w:val="left"/>
            </w:pPr>
            <w:r>
              <w:rPr/>
              <w:t>提供工业智能案例及详细的案例实训手册。 能够完整提供以上特色化教学资料的得2分；能够部分提供以上特色化教学资料的得1分；不能提供以上特色化教学资料的得0分。</w:t>
            </w:r>
          </w:p>
        </w:tc>
      </w:tr>
      <w:tr>
        <w:tc>
          <w:tcPr>
            <w:tcW w:type="dxa" w:w="3322"/>
          </w:tcPr>
          <w:p>
            <w:pPr>
              <w:pStyle w:val="null3"/>
              <w:jc w:val="left"/>
            </w:pPr>
            <w:r>
              <w:rPr/>
              <w:t>5、特色化教学（虚拟现实方向）</w:t>
            </w:r>
          </w:p>
        </w:tc>
        <w:tc>
          <w:tcPr>
            <w:tcW w:type="dxa" w:w="831"/>
          </w:tcPr>
          <w:p>
            <w:pPr>
              <w:pStyle w:val="null3"/>
              <w:jc w:val="right"/>
            </w:pPr>
            <w:r>
              <w:rPr/>
              <w:t>2.0000</w:t>
            </w:r>
          </w:p>
        </w:tc>
        <w:tc>
          <w:tcPr>
            <w:tcW w:type="dxa" w:w="4153"/>
          </w:tcPr>
          <w:p>
            <w:pPr>
              <w:pStyle w:val="null3"/>
              <w:jc w:val="left"/>
            </w:pPr>
            <w:r>
              <w:rPr/>
              <w:t>提供元宇宙虚拟场景案例及详细的案例实训手册。 能够完整提供以上特色化教学资料的得2分；能够部分提供以上特色化教学资料的得1分；不能提供以上特色化教学资料的得0分。</w:t>
            </w:r>
          </w:p>
        </w:tc>
      </w:tr>
      <w:tr>
        <w:tc>
          <w:tcPr>
            <w:tcW w:type="dxa" w:w="3322"/>
          </w:tcPr>
          <w:p>
            <w:pPr>
              <w:pStyle w:val="null3"/>
              <w:jc w:val="left"/>
            </w:pPr>
            <w:r>
              <w:rPr/>
              <w:t>6、实训线上教学服务平台演示（1）</w:t>
            </w:r>
          </w:p>
        </w:tc>
        <w:tc>
          <w:tcPr>
            <w:tcW w:type="dxa" w:w="831"/>
          </w:tcPr>
          <w:p>
            <w:pPr>
              <w:pStyle w:val="null3"/>
              <w:jc w:val="right"/>
            </w:pPr>
            <w:r>
              <w:rPr/>
              <w:t>2.0000</w:t>
            </w:r>
          </w:p>
        </w:tc>
        <w:tc>
          <w:tcPr>
            <w:tcW w:type="dxa" w:w="4153"/>
          </w:tcPr>
          <w:p>
            <w:pPr>
              <w:pStyle w:val="null3"/>
              <w:jc w:val="left"/>
            </w:pPr>
            <w:r>
              <w:rPr/>
              <w:t>实训线上教学服务平台演示(1)-(5)总体演示时间不超过10分钟，供应商须自行携带演示所需设备。 供应商有自主研发或购置的、成体系的专业线上教学服务平台及在线实训课程资源作为线上线下一体化实训教学支撑，线上教学资源包括但不限于本次实训方向的课程，教学项目实训方向涵盖智慧城市、商业零售、测绘地理、医疗健康等。演示完整满足此项得2分，部分满足此项得1分，不满足此项或未演示得0分。</w:t>
            </w:r>
          </w:p>
        </w:tc>
      </w:tr>
      <w:tr>
        <w:tc>
          <w:tcPr>
            <w:tcW w:type="dxa" w:w="3322"/>
          </w:tcPr>
          <w:p>
            <w:pPr>
              <w:pStyle w:val="null3"/>
              <w:jc w:val="left"/>
            </w:pPr>
            <w:r>
              <w:rPr/>
              <w:t>7、实训线上教学服务平台方演示（2）</w:t>
            </w:r>
          </w:p>
        </w:tc>
        <w:tc>
          <w:tcPr>
            <w:tcW w:type="dxa" w:w="831"/>
          </w:tcPr>
          <w:p>
            <w:pPr>
              <w:pStyle w:val="null3"/>
              <w:jc w:val="right"/>
            </w:pPr>
            <w:r>
              <w:rPr/>
              <w:t>2.0000</w:t>
            </w:r>
          </w:p>
        </w:tc>
        <w:tc>
          <w:tcPr>
            <w:tcW w:type="dxa" w:w="4153"/>
          </w:tcPr>
          <w:p>
            <w:pPr>
              <w:pStyle w:val="null3"/>
              <w:jc w:val="left"/>
            </w:pPr>
            <w:r>
              <w:rPr/>
              <w:t>实训线上教学服务平台演示(1)-(5)总体演示时间不超过10分钟，供应商须自行携带演示所需设备。 供应商在线上教学服务平台提供本次实训内容相关的拓展资源供学生选择性学习，包含数据结构与算法、SpringCloud、Nginx、Redis、机器学习、深度学习、计算机视觉、大数据、三维建模技术等课程。演示完整满足此项得2分，部分满足此项得1分，不满足此项或未演示得0分。</w:t>
            </w:r>
          </w:p>
        </w:tc>
      </w:tr>
      <w:tr>
        <w:tc>
          <w:tcPr>
            <w:tcW w:type="dxa" w:w="3322"/>
          </w:tcPr>
          <w:p>
            <w:pPr>
              <w:pStyle w:val="null3"/>
              <w:jc w:val="left"/>
            </w:pPr>
            <w:r>
              <w:rPr/>
              <w:t>8、实训线上教学服务平台演示（3）</w:t>
            </w:r>
          </w:p>
        </w:tc>
        <w:tc>
          <w:tcPr>
            <w:tcW w:type="dxa" w:w="831"/>
          </w:tcPr>
          <w:p>
            <w:pPr>
              <w:pStyle w:val="null3"/>
              <w:jc w:val="right"/>
            </w:pPr>
            <w:r>
              <w:rPr/>
              <w:t>2.0000</w:t>
            </w:r>
          </w:p>
        </w:tc>
        <w:tc>
          <w:tcPr>
            <w:tcW w:type="dxa" w:w="4153"/>
          </w:tcPr>
          <w:p>
            <w:pPr>
              <w:pStyle w:val="null3"/>
              <w:jc w:val="left"/>
            </w:pPr>
            <w:r>
              <w:rPr/>
              <w:t>实训线上教学服务平台演示(1)-(5)总体演示时间不超过10分钟，供应商须自行携带演示所需设备。 线上教学服务平台具备工程师岗前能力测试，提供不少于450道测试题，并提供答案解析。演示完整满足此项得2分，部分满足此项得1分，不满足此项或未演示得0分。</w:t>
            </w:r>
          </w:p>
        </w:tc>
      </w:tr>
      <w:tr>
        <w:tc>
          <w:tcPr>
            <w:tcW w:type="dxa" w:w="3322"/>
          </w:tcPr>
          <w:p>
            <w:pPr>
              <w:pStyle w:val="null3"/>
              <w:jc w:val="left"/>
            </w:pPr>
            <w:r>
              <w:rPr/>
              <w:t>9、实训线上教学服务平台演示（4）</w:t>
            </w:r>
          </w:p>
        </w:tc>
        <w:tc>
          <w:tcPr>
            <w:tcW w:type="dxa" w:w="831"/>
          </w:tcPr>
          <w:p>
            <w:pPr>
              <w:pStyle w:val="null3"/>
              <w:jc w:val="right"/>
            </w:pPr>
            <w:r>
              <w:rPr/>
              <w:t>2.0000</w:t>
            </w:r>
          </w:p>
        </w:tc>
        <w:tc>
          <w:tcPr>
            <w:tcW w:type="dxa" w:w="4153"/>
          </w:tcPr>
          <w:p>
            <w:pPr>
              <w:pStyle w:val="null3"/>
              <w:jc w:val="left"/>
            </w:pPr>
            <w:r>
              <w:rPr/>
              <w:t>实训线上教学服务平台方案(1)-(5)总体演示时间不超过10分钟，供应商须自行携带演示所需设备。 线上教学服务平台需提供在线AI工具集，包含AI辅助编码、AI数据处理、大模型使用等功能。演示完整满足此项得2分，部分满足此项得1分，不满足此项或未演示得0分。</w:t>
            </w:r>
          </w:p>
        </w:tc>
      </w:tr>
      <w:tr>
        <w:tc>
          <w:tcPr>
            <w:tcW w:type="dxa" w:w="3322"/>
          </w:tcPr>
          <w:p>
            <w:pPr>
              <w:pStyle w:val="null3"/>
              <w:jc w:val="left"/>
            </w:pPr>
            <w:r>
              <w:rPr/>
              <w:t>10、实训线上教学服务平台演示（5）</w:t>
            </w:r>
          </w:p>
        </w:tc>
        <w:tc>
          <w:tcPr>
            <w:tcW w:type="dxa" w:w="831"/>
          </w:tcPr>
          <w:p>
            <w:pPr>
              <w:pStyle w:val="null3"/>
              <w:jc w:val="right"/>
            </w:pPr>
            <w:r>
              <w:rPr/>
              <w:t>2.0000</w:t>
            </w:r>
          </w:p>
        </w:tc>
        <w:tc>
          <w:tcPr>
            <w:tcW w:type="dxa" w:w="4153"/>
          </w:tcPr>
          <w:p>
            <w:pPr>
              <w:pStyle w:val="null3"/>
              <w:jc w:val="left"/>
            </w:pPr>
            <w:r>
              <w:rPr/>
              <w:t>实训线上教学服务平台方案(1)-(5)总体演示时间不超过10分钟，供应商须自行携带演示所需设备。 线上教学服务平台需提供竞赛功能，包含赛事发布、线上报名、赛事辅导教学资料发布、作品提交等相关赛事组织功能。演示完整满足此项得2分，部分满足此项得1分，不满足此项或未演示得0分。</w:t>
            </w:r>
          </w:p>
        </w:tc>
      </w:tr>
      <w:tr>
        <w:tc>
          <w:tcPr>
            <w:tcW w:type="dxa" w:w="3322"/>
          </w:tcPr>
          <w:p>
            <w:pPr>
              <w:pStyle w:val="null3"/>
              <w:jc w:val="left"/>
            </w:pPr>
            <w:r>
              <w:rPr/>
              <w:t>11、实训成绩考核方案（软件开发方向）</w:t>
            </w:r>
          </w:p>
        </w:tc>
        <w:tc>
          <w:tcPr>
            <w:tcW w:type="dxa" w:w="831"/>
          </w:tcPr>
          <w:p>
            <w:pPr>
              <w:pStyle w:val="null3"/>
              <w:jc w:val="right"/>
            </w:pPr>
            <w:r>
              <w:rPr/>
              <w:t>1.0000</w:t>
            </w:r>
          </w:p>
        </w:tc>
        <w:tc>
          <w:tcPr>
            <w:tcW w:type="dxa" w:w="4153"/>
          </w:tcPr>
          <w:p>
            <w:pPr>
              <w:pStyle w:val="null3"/>
              <w:jc w:val="left"/>
            </w:pPr>
            <w:r>
              <w:rPr/>
              <w:t>根据编制的教学大纲中的成绩考核要求，提供软件开发方向《软件新技术》、《软件工程综合实训》课程具体的成绩考核方案。 （1）方案内容完整、能够清晰地阐述基本要求且符合项目实际操作的得1分； （2）有提供方案，方案所包含的要点有缺漏、未展开详细阐述但基本能够适用于本项目的得0.5分； （3）未提供或内容存在明显错误、内容明显不适用于本项目需求的均不得分。</w:t>
            </w:r>
          </w:p>
        </w:tc>
      </w:tr>
      <w:tr>
        <w:tc>
          <w:tcPr>
            <w:tcW w:type="dxa" w:w="3322"/>
          </w:tcPr>
          <w:p>
            <w:pPr>
              <w:pStyle w:val="null3"/>
              <w:jc w:val="left"/>
            </w:pPr>
            <w:r>
              <w:rPr/>
              <w:t>11、实训成绩考核方案（人工智能方向）</w:t>
            </w:r>
          </w:p>
        </w:tc>
        <w:tc>
          <w:tcPr>
            <w:tcW w:type="dxa" w:w="831"/>
          </w:tcPr>
          <w:p>
            <w:pPr>
              <w:pStyle w:val="null3"/>
              <w:jc w:val="right"/>
            </w:pPr>
            <w:r>
              <w:rPr/>
              <w:t>1.0000</w:t>
            </w:r>
          </w:p>
        </w:tc>
        <w:tc>
          <w:tcPr>
            <w:tcW w:type="dxa" w:w="4153"/>
          </w:tcPr>
          <w:p>
            <w:pPr>
              <w:pStyle w:val="null3"/>
              <w:jc w:val="left"/>
            </w:pPr>
            <w:r>
              <w:rPr/>
              <w:t>根据编制的教学大纲中的成绩考核要求，提供人工智能方向《软件新技术》、《软件工程综合实训》课程具体的成绩考核方案。 （1）方案内容完整、能够清晰地阐述基本要求且符合项目实际操作的得1分； （2）有提供方案，方案所包含的要点有缺漏、未展开详细阐述，但基本能够适用于本项目的得0.5分； （3）未提供或内容存在明显错误、内容明显不适用于本项目需求的均不得分。</w:t>
            </w:r>
          </w:p>
        </w:tc>
      </w:tr>
      <w:tr>
        <w:tc>
          <w:tcPr>
            <w:tcW w:type="dxa" w:w="3322"/>
          </w:tcPr>
          <w:p>
            <w:pPr>
              <w:pStyle w:val="null3"/>
              <w:jc w:val="left"/>
            </w:pPr>
            <w:r>
              <w:rPr/>
              <w:t>11、实训成绩考核方案（虚拟现实方向）</w:t>
            </w:r>
          </w:p>
        </w:tc>
        <w:tc>
          <w:tcPr>
            <w:tcW w:type="dxa" w:w="831"/>
          </w:tcPr>
          <w:p>
            <w:pPr>
              <w:pStyle w:val="null3"/>
              <w:jc w:val="right"/>
            </w:pPr>
            <w:r>
              <w:rPr/>
              <w:t>1.0000</w:t>
            </w:r>
          </w:p>
        </w:tc>
        <w:tc>
          <w:tcPr>
            <w:tcW w:type="dxa" w:w="4153"/>
          </w:tcPr>
          <w:p>
            <w:pPr>
              <w:pStyle w:val="null3"/>
              <w:jc w:val="left"/>
            </w:pPr>
            <w:r>
              <w:rPr/>
              <w:t>根据编制的教学大纲中的成绩考核要求，提供虚拟现实方向《软件新技术》、《软件工程综合实训》课程具体的成绩考核方案。 （1）方案内容完整、能够清晰地阐述基本要求且符合项目实际操作的得1分； （2）有提供方案，方案所包含的要点有缺漏、未展开详细阐述，但基本能够适用于本项目的得0.5分； （3）未提供或内容存在明显错误、内容明显不适用于本项目需求的均不得分。</w:t>
            </w:r>
          </w:p>
        </w:tc>
      </w:tr>
      <w:tr>
        <w:tc>
          <w:tcPr>
            <w:tcW w:type="dxa" w:w="3322"/>
          </w:tcPr>
          <w:p>
            <w:pPr>
              <w:pStyle w:val="null3"/>
              <w:jc w:val="left"/>
            </w:pPr>
            <w:r>
              <w:rPr/>
              <w:t>12、实训教学管理方案（日常教学管理）</w:t>
            </w:r>
          </w:p>
        </w:tc>
        <w:tc>
          <w:tcPr>
            <w:tcW w:type="dxa" w:w="831"/>
          </w:tcPr>
          <w:p>
            <w:pPr>
              <w:pStyle w:val="null3"/>
              <w:jc w:val="right"/>
            </w:pPr>
            <w:r>
              <w:rPr/>
              <w:t>2.0000</w:t>
            </w:r>
          </w:p>
        </w:tc>
        <w:tc>
          <w:tcPr>
            <w:tcW w:type="dxa" w:w="4153"/>
          </w:tcPr>
          <w:p>
            <w:pPr>
              <w:pStyle w:val="null3"/>
              <w:jc w:val="left"/>
            </w:pPr>
            <w:r>
              <w:rPr/>
              <w:t>（1）方案包含的要点齐全无缺漏项、内容与要点相符、每个要点均有展开详细的阐述且能够适用于本项目得2分； （2）方案所包含的要点有缺漏、内容与要点相符但仅有纲要、内容简略，未展开详细阐述但基本能够适用于本项目的得1分； （3）未提供或内容存在明显错误、内容明显不适用于本项目需求的均不得分。</w:t>
            </w:r>
          </w:p>
        </w:tc>
      </w:tr>
      <w:tr>
        <w:tc>
          <w:tcPr>
            <w:tcW w:type="dxa" w:w="3322"/>
          </w:tcPr>
          <w:p>
            <w:pPr>
              <w:pStyle w:val="null3"/>
              <w:jc w:val="left"/>
            </w:pPr>
            <w:r>
              <w:rPr/>
              <w:t>12、实训教学管理方案（学生对教学的评价反馈机制）</w:t>
            </w:r>
          </w:p>
        </w:tc>
        <w:tc>
          <w:tcPr>
            <w:tcW w:type="dxa" w:w="831"/>
          </w:tcPr>
          <w:p>
            <w:pPr>
              <w:pStyle w:val="null3"/>
              <w:jc w:val="right"/>
            </w:pPr>
            <w:r>
              <w:rPr/>
              <w:t>2.0000</w:t>
            </w:r>
          </w:p>
        </w:tc>
        <w:tc>
          <w:tcPr>
            <w:tcW w:type="dxa" w:w="4153"/>
          </w:tcPr>
          <w:p>
            <w:pPr>
              <w:pStyle w:val="null3"/>
              <w:jc w:val="left"/>
            </w:pPr>
            <w:r>
              <w:rPr/>
              <w:t>（1）方案包含的要点齐全无缺漏项、内容与要点相符、每个要点均有展开详细的阐述且能够适用于本项目得2分； （2）方案所包含的要点有缺漏、内容与要点相符但仅有纲要、内容简略，未展开详细阐述但基本能够适用于本项目的得1分； （3）未提供或内容存在明显错误、内容明显不适用于本项目需求的均不得分。</w:t>
            </w:r>
          </w:p>
        </w:tc>
      </w:tr>
      <w:tr>
        <w:tc>
          <w:tcPr>
            <w:tcW w:type="dxa" w:w="3322"/>
          </w:tcPr>
          <w:p>
            <w:pPr>
              <w:pStyle w:val="null3"/>
              <w:jc w:val="left"/>
            </w:pPr>
            <w:r>
              <w:rPr/>
              <w:t>12、实训教学管理方案（教学全过程档案管理）</w:t>
            </w:r>
          </w:p>
        </w:tc>
        <w:tc>
          <w:tcPr>
            <w:tcW w:type="dxa" w:w="831"/>
          </w:tcPr>
          <w:p>
            <w:pPr>
              <w:pStyle w:val="null3"/>
              <w:jc w:val="right"/>
            </w:pPr>
            <w:r>
              <w:rPr/>
              <w:t>2.0000</w:t>
            </w:r>
          </w:p>
        </w:tc>
        <w:tc>
          <w:tcPr>
            <w:tcW w:type="dxa" w:w="4153"/>
          </w:tcPr>
          <w:p>
            <w:pPr>
              <w:pStyle w:val="null3"/>
              <w:jc w:val="left"/>
            </w:pPr>
            <w:r>
              <w:rPr/>
              <w:t>（1）方案包含的要点齐全无缺漏项、内容与要点相符、每个要点均有展开详细的阐述且能够适用于本项目得2分； （2）方案所包含的要点有缺漏、内容与要点相符但仅有纲要、内容简略，未展开详细阐述但基本能够适用于本项目的得1分； （3）未提供或内容存在明显错误、内容明显不适用于本项目需求的均不得分。</w:t>
            </w:r>
          </w:p>
        </w:tc>
      </w:tr>
      <w:tr>
        <w:tc>
          <w:tcPr>
            <w:tcW w:type="dxa" w:w="3322"/>
          </w:tcPr>
          <w:p>
            <w:pPr>
              <w:pStyle w:val="null3"/>
              <w:jc w:val="left"/>
            </w:pPr>
            <w:r>
              <w:rPr/>
              <w:t>13、实训学生管理方案（学生日常管理办法）</w:t>
            </w:r>
          </w:p>
        </w:tc>
        <w:tc>
          <w:tcPr>
            <w:tcW w:type="dxa" w:w="831"/>
          </w:tcPr>
          <w:p>
            <w:pPr>
              <w:pStyle w:val="null3"/>
              <w:jc w:val="right"/>
            </w:pPr>
            <w:r>
              <w:rPr/>
              <w:t>2.0000</w:t>
            </w:r>
          </w:p>
        </w:tc>
        <w:tc>
          <w:tcPr>
            <w:tcW w:type="dxa" w:w="4153"/>
          </w:tcPr>
          <w:p>
            <w:pPr>
              <w:pStyle w:val="null3"/>
              <w:jc w:val="left"/>
            </w:pPr>
            <w:r>
              <w:rPr/>
              <w:t>（1）方案包含的要点齐全无缺漏项、内容与要点相符、每个要点均有展开详细的阐述且能够适用于本项目得2分； （2）方案所包含的要点有缺漏、内容与要点相符但仅有纲要、内容简略，未展开详细阐述但基本能够适用于本项目的得1分； （3）未提供或内容存在明显错误、内容明显不适用于本项目需求的均不得分。</w:t>
            </w:r>
          </w:p>
        </w:tc>
      </w:tr>
      <w:tr>
        <w:tc>
          <w:tcPr>
            <w:tcW w:type="dxa" w:w="3322"/>
          </w:tcPr>
          <w:p>
            <w:pPr>
              <w:pStyle w:val="null3"/>
              <w:jc w:val="left"/>
            </w:pPr>
            <w:r>
              <w:rPr/>
              <w:t>13、实训学生管理方案（安全管理及身心健康管理办法）</w:t>
            </w:r>
          </w:p>
        </w:tc>
        <w:tc>
          <w:tcPr>
            <w:tcW w:type="dxa" w:w="831"/>
          </w:tcPr>
          <w:p>
            <w:pPr>
              <w:pStyle w:val="null3"/>
              <w:jc w:val="right"/>
            </w:pPr>
            <w:r>
              <w:rPr/>
              <w:t>1.0000</w:t>
            </w:r>
          </w:p>
        </w:tc>
        <w:tc>
          <w:tcPr>
            <w:tcW w:type="dxa" w:w="4153"/>
          </w:tcPr>
          <w:p>
            <w:pPr>
              <w:pStyle w:val="null3"/>
              <w:jc w:val="left"/>
            </w:pPr>
            <w:r>
              <w:rPr/>
              <w:t>（1）方案包含的要点齐全无缺漏项、内容与要点相符、每个要点均有展开详细的阐述且能够适用于本项目得1分； （2）方案所包含的要点有缺漏、内容与要点相符但仅有纲要、内容简略，未展开详细阐述但基本能够适用于本项目的得0.5分； （3）未提供或内容存在明显错误、内容明显不适用于本项目需求的均不得分。</w:t>
            </w:r>
          </w:p>
        </w:tc>
      </w:tr>
      <w:tr>
        <w:tc>
          <w:tcPr>
            <w:tcW w:type="dxa" w:w="3322"/>
          </w:tcPr>
          <w:p>
            <w:pPr>
              <w:pStyle w:val="null3"/>
              <w:jc w:val="left"/>
            </w:pPr>
            <w:r>
              <w:rPr/>
              <w:t>13、实训学生管理方案（党团活动安排）</w:t>
            </w:r>
          </w:p>
        </w:tc>
        <w:tc>
          <w:tcPr>
            <w:tcW w:type="dxa" w:w="831"/>
          </w:tcPr>
          <w:p>
            <w:pPr>
              <w:pStyle w:val="null3"/>
              <w:jc w:val="right"/>
            </w:pPr>
            <w:r>
              <w:rPr/>
              <w:t>1.0000</w:t>
            </w:r>
          </w:p>
        </w:tc>
        <w:tc>
          <w:tcPr>
            <w:tcW w:type="dxa" w:w="4153"/>
          </w:tcPr>
          <w:p>
            <w:pPr>
              <w:pStyle w:val="null3"/>
              <w:jc w:val="left"/>
            </w:pPr>
            <w:r>
              <w:rPr/>
              <w:t>（1）方案包含的要点齐全无缺漏项、内容与要点相符、每个要点均有展开详细的阐述且能够适用于本项目得1分； （2）方案所包含的要点有缺漏、内容与要点相符但仅有纲要、内容简略，未展开详细阐述但基本能够适用于本项目的得0.5分； （3）未提供或内容存在明显错误、内容明显不适用于本项目需求的均不得分。</w:t>
            </w:r>
          </w:p>
        </w:tc>
      </w:tr>
      <w:tr>
        <w:tc>
          <w:tcPr>
            <w:tcW w:type="dxa" w:w="3322"/>
          </w:tcPr>
          <w:p>
            <w:pPr>
              <w:pStyle w:val="null3"/>
              <w:jc w:val="left"/>
            </w:pPr>
            <w:r>
              <w:rPr/>
              <w:t>13、实训学生管理方案（突发事件的应急措施及纠纷事件的应急处理预案）</w:t>
            </w:r>
          </w:p>
        </w:tc>
        <w:tc>
          <w:tcPr>
            <w:tcW w:type="dxa" w:w="831"/>
          </w:tcPr>
          <w:p>
            <w:pPr>
              <w:pStyle w:val="null3"/>
              <w:jc w:val="right"/>
            </w:pPr>
            <w:r>
              <w:rPr/>
              <w:t>1.0000</w:t>
            </w:r>
          </w:p>
        </w:tc>
        <w:tc>
          <w:tcPr>
            <w:tcW w:type="dxa" w:w="4153"/>
          </w:tcPr>
          <w:p>
            <w:pPr>
              <w:pStyle w:val="null3"/>
              <w:jc w:val="left"/>
            </w:pPr>
            <w:r>
              <w:rPr/>
              <w:t>（1）方案包含的要点齐全无缺漏项、内容与要点相符、每个要点均有展开详细的阐述且能够适用于本项目得1分； （2）方案所包含的要点有缺漏、内容与要点相符但仅有纲要、内容简略，未展开详细阐述但基本能够适用于本项目的得0.5分； （3）未提供或内容存在明显错误、内容明显不适用于本项目需求的均不得分。</w:t>
            </w:r>
          </w:p>
        </w:tc>
      </w:tr>
      <w:tr>
        <w:tc>
          <w:tcPr>
            <w:tcW w:type="dxa" w:w="3322"/>
          </w:tcPr>
          <w:p>
            <w:pPr>
              <w:pStyle w:val="null3"/>
              <w:jc w:val="left"/>
            </w:pPr>
            <w:r>
              <w:rPr/>
              <w:t>14、实习指导方案（实习推荐计划）</w:t>
            </w:r>
          </w:p>
        </w:tc>
        <w:tc>
          <w:tcPr>
            <w:tcW w:type="dxa" w:w="831"/>
          </w:tcPr>
          <w:p>
            <w:pPr>
              <w:pStyle w:val="null3"/>
              <w:jc w:val="right"/>
            </w:pPr>
            <w:r>
              <w:rPr/>
              <w:t>3.0000</w:t>
            </w:r>
          </w:p>
        </w:tc>
        <w:tc>
          <w:tcPr>
            <w:tcW w:type="dxa" w:w="4153"/>
          </w:tcPr>
          <w:p>
            <w:pPr>
              <w:pStyle w:val="null3"/>
              <w:jc w:val="left"/>
            </w:pPr>
            <w:r>
              <w:rPr/>
              <w:t>（1）方案内容全面、计划安排完善、管理得当，内容与要点相符， 每个要点均有展开详细的阐述且能够适用于本项目得3分； （2）方案内容较全面、计划安排一般、管理水平一般的，内容与要点相符但仅有纲要、内容简略，未展开详细阐述但基本能够适用于本项目的得1.5分； （3）未提供或方案内容不全面、计划安排较差、管理水平较差的均不得分。</w:t>
            </w:r>
          </w:p>
        </w:tc>
      </w:tr>
      <w:tr>
        <w:tc>
          <w:tcPr>
            <w:tcW w:type="dxa" w:w="3322"/>
          </w:tcPr>
          <w:p>
            <w:pPr>
              <w:pStyle w:val="null3"/>
              <w:jc w:val="left"/>
            </w:pPr>
            <w:r>
              <w:rPr/>
              <w:t>14、实习指导方案（实习监管计划）</w:t>
            </w:r>
          </w:p>
        </w:tc>
        <w:tc>
          <w:tcPr>
            <w:tcW w:type="dxa" w:w="831"/>
          </w:tcPr>
          <w:p>
            <w:pPr>
              <w:pStyle w:val="null3"/>
              <w:jc w:val="right"/>
            </w:pPr>
            <w:r>
              <w:rPr/>
              <w:t>3.0000</w:t>
            </w:r>
          </w:p>
        </w:tc>
        <w:tc>
          <w:tcPr>
            <w:tcW w:type="dxa" w:w="4153"/>
          </w:tcPr>
          <w:p>
            <w:pPr>
              <w:pStyle w:val="null3"/>
              <w:jc w:val="left"/>
            </w:pPr>
            <w:r>
              <w:rPr/>
              <w:t>（1）方案内容全面、计划安排完善、管理得当，内容与要点相符， 每个要点均有展开详细的阐述且能够适用于本项目得3分； （2）方案内容较全面、计划安排一般、管理水平一般的，内容与要点相符但仅有纲要、内容简略，未展开详细阐述但基本能够适用于本项目的得1.5分； （3）未提供或方案内容不全面、计划安排较差、管理水平较差的均不得分。</w:t>
            </w:r>
          </w:p>
        </w:tc>
      </w:tr>
      <w:tr>
        <w:tc>
          <w:tcPr>
            <w:tcW w:type="dxa" w:w="3322"/>
          </w:tcPr>
          <w:p>
            <w:pPr>
              <w:pStyle w:val="null3"/>
              <w:jc w:val="left"/>
            </w:pPr>
            <w:r>
              <w:rPr/>
              <w:t>14、实习指导方案（未获推荐实习单位同学现场实习方案）</w:t>
            </w:r>
          </w:p>
        </w:tc>
        <w:tc>
          <w:tcPr>
            <w:tcW w:type="dxa" w:w="831"/>
          </w:tcPr>
          <w:p>
            <w:pPr>
              <w:pStyle w:val="null3"/>
              <w:jc w:val="right"/>
            </w:pPr>
            <w:r>
              <w:rPr/>
              <w:t>3.0000</w:t>
            </w:r>
          </w:p>
        </w:tc>
        <w:tc>
          <w:tcPr>
            <w:tcW w:type="dxa" w:w="4153"/>
          </w:tcPr>
          <w:p>
            <w:pPr>
              <w:pStyle w:val="null3"/>
              <w:jc w:val="left"/>
            </w:pPr>
            <w:r>
              <w:rPr/>
              <w:t>（1）方案内容全面、计划安排完善、管理得当，内容与要点相符， 每个要点均有展开详细的阐述且能够适用于本项目得3分； （2）方案内容较全面、计划安排一般、管理水平一般的，内容与要点相符但仅有纲要、内容简略，未展开详细阐述但基本能够适用于本项目的得1.5分； （3）未提供或方案内容不全面、计划安排较差、管理水平较差的均不得分。</w:t>
            </w:r>
          </w:p>
        </w:tc>
      </w:tr>
      <w:tr>
        <w:tc>
          <w:tcPr>
            <w:tcW w:type="dxa" w:w="3322"/>
          </w:tcPr>
          <w:p>
            <w:pPr>
              <w:pStyle w:val="null3"/>
              <w:jc w:val="left"/>
            </w:pPr>
            <w:r>
              <w:rPr/>
              <w:t>14、实习指导方案（实习成绩考核方案）</w:t>
            </w:r>
          </w:p>
        </w:tc>
        <w:tc>
          <w:tcPr>
            <w:tcW w:type="dxa" w:w="831"/>
          </w:tcPr>
          <w:p>
            <w:pPr>
              <w:pStyle w:val="null3"/>
              <w:jc w:val="right"/>
            </w:pPr>
            <w:r>
              <w:rPr/>
              <w:t>3.0000</w:t>
            </w:r>
          </w:p>
        </w:tc>
        <w:tc>
          <w:tcPr>
            <w:tcW w:type="dxa" w:w="4153"/>
          </w:tcPr>
          <w:p>
            <w:pPr>
              <w:pStyle w:val="null3"/>
              <w:jc w:val="left"/>
            </w:pPr>
            <w:r>
              <w:rPr/>
              <w:t>（1）方案内容完整、能够清晰地阐述基本要求且符合项目实际操作的得3分； （2）有提供方案，方案所包含的要点有缺漏、未展开详细阐述，但基本能够适用于本项目的得1.5分； （3）未提供或内容存在明显错误、内容明显不适用于本项目需求的均不得分。</w:t>
            </w:r>
          </w:p>
        </w:tc>
      </w:tr>
    </w:tbl>
    <w:p>
      <w:pPr>
        <w:pStyle w:val="null3"/>
        <w:jc w:val="left"/>
      </w:pPr>
      <w:r>
        <w:rPr/>
        <w:t>商务部分评分PB 满分为14.0000分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1、综合实力-教学负责人</w:t>
            </w:r>
          </w:p>
        </w:tc>
        <w:tc>
          <w:tcPr>
            <w:tcW w:type="dxa" w:w="831"/>
          </w:tcPr>
          <w:p>
            <w:pPr>
              <w:pStyle w:val="null3"/>
              <w:jc w:val="right"/>
            </w:pPr>
            <w:r>
              <w:rPr/>
              <w:t>3.0000</w:t>
            </w:r>
          </w:p>
        </w:tc>
        <w:tc>
          <w:tcPr>
            <w:tcW w:type="dxa" w:w="4153"/>
          </w:tcPr>
          <w:p>
            <w:pPr>
              <w:pStyle w:val="null3"/>
              <w:jc w:val="left"/>
            </w:pPr>
            <w:r>
              <w:rPr/>
              <w:t>供应商为本次项目投入专门的教学负责人，具有IT类相关专业本科或以上学历的得1分，具有计算机技术与软件技术资格高级证书的得1分，具有5年或以上教学经历的得1分。满分3分。 注：教学负责人不能与主讲教师相同，须提供学历证明材料复印件、计算机技术与软件技术资格高级证书复印件、工作单位提供的从事教学工作的职位证明材料复印件，以及投标截止时间前6个月内任意1个月(不含投标截止时间当月）供应商为其缴纳的社保证明材料并加盖供应商公章，否则不得分。</w:t>
            </w:r>
          </w:p>
        </w:tc>
      </w:tr>
      <w:tr>
        <w:tc>
          <w:tcPr>
            <w:tcW w:type="dxa" w:w="3322"/>
          </w:tcPr>
          <w:p>
            <w:pPr>
              <w:pStyle w:val="null3"/>
              <w:jc w:val="left"/>
            </w:pPr>
            <w:r>
              <w:rPr/>
              <w:t>2、教学团队成员</w:t>
            </w:r>
          </w:p>
        </w:tc>
        <w:tc>
          <w:tcPr>
            <w:tcW w:type="dxa" w:w="831"/>
          </w:tcPr>
          <w:p>
            <w:pPr>
              <w:pStyle w:val="null3"/>
              <w:jc w:val="right"/>
            </w:pPr>
            <w:r>
              <w:rPr/>
              <w:t>3.0000</w:t>
            </w:r>
          </w:p>
        </w:tc>
        <w:tc>
          <w:tcPr>
            <w:tcW w:type="dxa" w:w="4153"/>
          </w:tcPr>
          <w:p>
            <w:pPr>
              <w:pStyle w:val="null3"/>
              <w:jc w:val="left"/>
            </w:pPr>
            <w:r>
              <w:rPr/>
              <w:t>根据供应商拟投入的教学团队成员（教学负责人除外)进行评分： 团队成员具有 IT 类相关专业本科及以上学历和5年或以上软件开发经验的，每提供1人得1分，满分3分。 注：须提供学历证明材料复印件、工作单位提供的从事软件开发工作的职位证明材料复印件，以及投标截止时间前6个月内任意1个月(不含投标截止时间当月）供应商为其缴纳的社保证明材料并加盖供应商公章，否则不得分。</w:t>
            </w:r>
          </w:p>
        </w:tc>
      </w:tr>
      <w:tr>
        <w:tc>
          <w:tcPr>
            <w:tcW w:type="dxa" w:w="3322"/>
          </w:tcPr>
          <w:p>
            <w:pPr>
              <w:pStyle w:val="null3"/>
              <w:jc w:val="left"/>
            </w:pPr>
            <w:r>
              <w:rPr/>
              <w:t>3、业绩</w:t>
            </w:r>
          </w:p>
        </w:tc>
        <w:tc>
          <w:tcPr>
            <w:tcW w:type="dxa" w:w="831"/>
          </w:tcPr>
          <w:p>
            <w:pPr>
              <w:pStyle w:val="null3"/>
              <w:jc w:val="right"/>
            </w:pPr>
            <w:r>
              <w:rPr/>
              <w:t>3.0000</w:t>
            </w:r>
          </w:p>
        </w:tc>
        <w:tc>
          <w:tcPr>
            <w:tcW w:type="dxa" w:w="4153"/>
          </w:tcPr>
          <w:p>
            <w:pPr>
              <w:pStyle w:val="null3"/>
              <w:jc w:val="left"/>
            </w:pPr>
            <w:r>
              <w:rPr/>
              <w:t>根据供应商所提供的自2022年1月1日起至本次投标截止时间止（日期以合同签订时间为准）由供应商所完成的与本项目类似软件类实训项目的成功案例进行评分，每提供1份完整合格的业绩的得0.5分, 满分3分。 注：提供中标公告的下载网页并注明网址或者中标通知书复印件或者采购合同文本复印件，以及能够证明该业绩项目已经采购人验收合格的相关证明文件复印件。未提供或提供不全的不得分。</w:t>
            </w:r>
          </w:p>
        </w:tc>
      </w:tr>
      <w:tr>
        <w:tc>
          <w:tcPr>
            <w:tcW w:type="dxa" w:w="3322"/>
          </w:tcPr>
          <w:p>
            <w:pPr>
              <w:pStyle w:val="null3"/>
              <w:jc w:val="left"/>
            </w:pPr>
            <w:r>
              <w:rPr/>
              <w:t>4、信誉</w:t>
            </w:r>
          </w:p>
        </w:tc>
        <w:tc>
          <w:tcPr>
            <w:tcW w:type="dxa" w:w="831"/>
          </w:tcPr>
          <w:p>
            <w:pPr>
              <w:pStyle w:val="null3"/>
              <w:jc w:val="right"/>
            </w:pPr>
            <w:r>
              <w:rPr/>
              <w:t>2.0000</w:t>
            </w:r>
          </w:p>
        </w:tc>
        <w:tc>
          <w:tcPr>
            <w:tcW w:type="dxa" w:w="4153"/>
          </w:tcPr>
          <w:p>
            <w:pPr>
              <w:pStyle w:val="null3"/>
              <w:jc w:val="left"/>
            </w:pPr>
            <w:r>
              <w:rPr/>
              <w:t>供应商近5年内具有国家部委授牌的实训基地或集训基地的得2分，不提供不得分。 注：须提供证书复印件，否则不得分。</w:t>
            </w:r>
          </w:p>
        </w:tc>
      </w:tr>
      <w:tr>
        <w:tc>
          <w:tcPr>
            <w:tcW w:type="dxa" w:w="3322"/>
          </w:tcPr>
          <w:p>
            <w:pPr>
              <w:pStyle w:val="null3"/>
              <w:jc w:val="left"/>
            </w:pPr>
            <w:r>
              <w:rPr/>
              <w:t>5、数据分析承诺</w:t>
            </w:r>
          </w:p>
        </w:tc>
        <w:tc>
          <w:tcPr>
            <w:tcW w:type="dxa" w:w="831"/>
          </w:tcPr>
          <w:p>
            <w:pPr>
              <w:pStyle w:val="null3"/>
              <w:jc w:val="right"/>
            </w:pPr>
            <w:r>
              <w:rPr/>
              <w:t>3.0000</w:t>
            </w:r>
          </w:p>
        </w:tc>
        <w:tc>
          <w:tcPr>
            <w:tcW w:type="dxa" w:w="4153"/>
          </w:tcPr>
          <w:p>
            <w:pPr>
              <w:pStyle w:val="null3"/>
              <w:jc w:val="left"/>
            </w:pPr>
            <w:r>
              <w:rPr/>
              <w:t>供应商承诺在实训结束后提供受训分析数据的得1.5分，提供学生学习情况调查问卷分析的得1.5分。不承诺不得分。注:须提供承诺函，否则不得分。</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sz w:val="28"/>
          <w:b/>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sz w:val="28"/>
          <w:b/>
        </w:rPr>
        <w:t>第2节 竞争性磋商须知</w:t>
      </w:r>
    </w:p>
    <w:p>
      <w:pPr>
        <w:pStyle w:val="null3"/>
        <w:jc w:val="center"/>
        <w:outlineLvl w:val="2"/>
      </w:pPr>
      <w:r>
        <w:rPr>
          <w:sz w:val="28"/>
          <w:b/>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sz w:val="28"/>
          <w:b/>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sz w:val="28"/>
          <w:b/>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sz w:val="28"/>
          <w:b/>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不满足磋商文件第三章《采购内容及要求》中“二、技术要求”标注★的条款的。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不满足磋商文件第三章《采购内容及要求》中“三、商务要求”内容条款的。</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供应商报价不得超过本项目的最高限价，否则按无效处理。</w:t>
            </w:r>
          </w:p>
        </w:tc>
      </w:tr>
    </w:tbl>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sz w:val="28"/>
          <w:b/>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left"/>
        <w:outlineLvl w:val="2"/>
      </w:pPr>
      <w:r>
        <w:rPr>
          <w:sz w:val="28"/>
          <w:b/>
        </w:rPr>
        <w:t>一、（根据本项目实际情况，填写“采购标的”或“项目概况”）</w:t>
      </w:r>
    </w:p>
    <w:p>
      <w:pPr>
        <w:pStyle w:val="null3"/>
        <w:jc w:val="left"/>
      </w:pPr>
      <w:r>
        <w:rPr>
          <w:rFonts w:ascii="simsun" w:hAnsi="simsun" w:cs="simsun" w:eastAsia="simsun"/>
          <w:sz w:val="24"/>
        </w:rPr>
        <w:t>1、服务名称：</w:t>
      </w:r>
      <w:r>
        <w:rPr>
          <w:rFonts w:ascii="simsun" w:hAnsi="simsun" w:cs="simsun" w:eastAsia="simsun"/>
          <w:sz w:val="24"/>
        </w:rPr>
        <w:t>2</w:t>
      </w:r>
      <w:r>
        <w:rPr>
          <w:rFonts w:ascii="simsun" w:hAnsi="simsun" w:cs="simsun" w:eastAsia="simsun"/>
          <w:sz w:val="24"/>
        </w:rPr>
        <w:t>021</w:t>
      </w:r>
      <w:r>
        <w:rPr>
          <w:rFonts w:ascii="simsun" w:hAnsi="simsun" w:cs="simsun" w:eastAsia="simsun"/>
          <w:sz w:val="24"/>
        </w:rPr>
        <w:t>级</w:t>
      </w:r>
      <w:r>
        <w:rPr>
          <w:rFonts w:ascii="simsun" w:hAnsi="simsun" w:cs="simsun" w:eastAsia="simsun"/>
          <w:sz w:val="24"/>
        </w:rPr>
        <w:t>软件工程专业实训实习</w:t>
      </w:r>
      <w:r>
        <w:rPr>
          <w:rFonts w:ascii="simsun" w:hAnsi="simsun" w:cs="simsun" w:eastAsia="simsun"/>
          <w:sz w:val="24"/>
        </w:rPr>
        <w:t>服务</w:t>
      </w:r>
    </w:p>
    <w:p>
      <w:pPr>
        <w:pStyle w:val="null3"/>
        <w:spacing w:after="165"/>
        <w:ind w:firstLine="480"/>
        <w:jc w:val="both"/>
      </w:pPr>
      <w:r>
        <w:rPr>
          <w:rFonts w:ascii="simsun" w:hAnsi="simsun" w:cs="simsun" w:eastAsia="simsun"/>
          <w:sz w:val="24"/>
        </w:rPr>
        <w:t>2、服务内容、要求及标准：</w:t>
      </w:r>
      <w:r>
        <w:rPr>
          <w:rFonts w:ascii="simsun" w:hAnsi="simsun" w:cs="simsun" w:eastAsia="simsun"/>
          <w:sz w:val="24"/>
        </w:rPr>
        <w:t>承担泉州师范学院软件工程专业</w:t>
      </w:r>
      <w:r>
        <w:rPr>
          <w:rFonts w:ascii="simsun" w:hAnsi="simsun" w:cs="simsun" w:eastAsia="simsun"/>
          <w:sz w:val="24"/>
        </w:rPr>
        <w:t>2021级</w:t>
      </w:r>
      <w:r>
        <w:rPr>
          <w:rFonts w:ascii="simsun" w:hAnsi="simsun" w:cs="simsun" w:eastAsia="simsun"/>
          <w:sz w:val="24"/>
        </w:rPr>
        <w:t>259</w:t>
      </w:r>
      <w:r>
        <w:rPr>
          <w:rFonts w:ascii="simsun" w:hAnsi="simsun" w:cs="simsun" w:eastAsia="simsun"/>
          <w:sz w:val="24"/>
        </w:rPr>
        <w:t>名学生第四学</w:t>
      </w:r>
      <w:r>
        <w:rPr>
          <w:rFonts w:ascii="simsun" w:hAnsi="simsun" w:cs="simsun" w:eastAsia="simsun"/>
          <w:sz w:val="24"/>
        </w:rPr>
        <w:t>年的《软件新技术》、《软件工程综合实训》、《专业实习》等实践课程教学任务，辅助校内导师进行毕业设计指导任务，并推荐学生就业，包括</w:t>
      </w:r>
      <w:r>
        <w:rPr>
          <w:rFonts w:ascii="simsun" w:hAnsi="simsun" w:cs="simsun" w:eastAsia="simsun"/>
          <w:sz w:val="24"/>
        </w:rPr>
        <w:t>4周企业实训+3周企业入校实训</w:t>
      </w:r>
      <w:r>
        <w:rPr>
          <w:rFonts w:ascii="simsun" w:hAnsi="simsun" w:cs="simsun" w:eastAsia="simsun"/>
          <w:sz w:val="24"/>
        </w:rPr>
        <w:t>、</w:t>
      </w:r>
      <w:r>
        <w:rPr>
          <w:rFonts w:ascii="simsun" w:hAnsi="simsun" w:cs="simsun" w:eastAsia="simsun"/>
          <w:sz w:val="24"/>
        </w:rPr>
        <w:t>毕业设计指导</w:t>
      </w:r>
      <w:r>
        <w:rPr>
          <w:rFonts w:ascii="simsun" w:hAnsi="simsun" w:cs="simsun" w:eastAsia="simsun"/>
          <w:sz w:val="24"/>
        </w:rPr>
        <w:t>、8周</w:t>
      </w:r>
      <w:r>
        <w:rPr>
          <w:rFonts w:ascii="simsun" w:hAnsi="simsun" w:cs="simsun" w:eastAsia="simsun"/>
          <w:sz w:val="24"/>
        </w:rPr>
        <w:t>实习指导</w:t>
      </w:r>
      <w:r>
        <w:rPr>
          <w:rFonts w:ascii="simsun" w:hAnsi="simsun" w:cs="simsun" w:eastAsia="simsun"/>
          <w:sz w:val="24"/>
        </w:rPr>
        <w:t>、</w:t>
      </w:r>
      <w:r>
        <w:rPr>
          <w:rFonts w:ascii="simsun" w:hAnsi="simsun" w:cs="simsun" w:eastAsia="simsun"/>
          <w:sz w:val="24"/>
        </w:rPr>
        <w:t>就业指导与就业推荐</w:t>
      </w:r>
      <w:r>
        <w:rPr>
          <w:rFonts w:ascii="simsun" w:hAnsi="simsun" w:cs="simsun" w:eastAsia="simsun"/>
          <w:sz w:val="24"/>
        </w:rPr>
        <w:t>。具体方案应结合软件工程行业需求，针对学生的方向（学生分为软件开发、人工智能开发、虚拟现实开发3个方向），积极培养学生运用先进的工程化方法、技术和工具从事软件开发、人工智能开发、虚拟现实开发的能力，以及工程项目的组织与管理能力、团队协作能力、技术创新能力和市场开拓能力。</w:t>
      </w:r>
    </w:p>
    <w:p>
      <w:pPr>
        <w:pStyle w:val="null3"/>
        <w:spacing w:after="165"/>
        <w:ind w:firstLine="480"/>
        <w:jc w:val="both"/>
      </w:pPr>
      <w:r>
        <w:rPr>
          <w:rFonts w:ascii="simsun" w:hAnsi="simsun" w:cs="simsun" w:eastAsia="simsun"/>
          <w:sz w:val="24"/>
        </w:rPr>
        <w:t>3、服务时间：2024年9月-2025年</w:t>
      </w:r>
      <w:r>
        <w:rPr>
          <w:rFonts w:ascii="simsun" w:hAnsi="simsun" w:cs="simsun" w:eastAsia="simsun"/>
          <w:sz w:val="24"/>
        </w:rPr>
        <w:t>8</w:t>
      </w:r>
      <w:r>
        <w:rPr>
          <w:rFonts w:ascii="simsun" w:hAnsi="simsun" w:cs="simsun" w:eastAsia="simsun"/>
          <w:sz w:val="24"/>
        </w:rPr>
        <w:t>月3</w:t>
      </w:r>
      <w:r>
        <w:rPr>
          <w:rFonts w:ascii="simsun" w:hAnsi="simsun" w:cs="simsun" w:eastAsia="simsun"/>
          <w:sz w:val="24"/>
        </w:rPr>
        <w:t>1</w:t>
      </w:r>
      <w:r>
        <w:rPr>
          <w:rFonts w:ascii="simsun" w:hAnsi="simsun" w:cs="simsun" w:eastAsia="simsun"/>
          <w:sz w:val="24"/>
        </w:rPr>
        <w:t>日</w:t>
      </w:r>
    </w:p>
    <w:p>
      <w:pPr>
        <w:pStyle w:val="null3"/>
        <w:jc w:val="left"/>
        <w:outlineLvl w:val="2"/>
      </w:pPr>
      <w:r>
        <w:rPr>
          <w:sz w:val="28"/>
          <w:b/>
        </w:rPr>
        <w:t>二、技术要求</w:t>
      </w:r>
    </w:p>
    <w:p>
      <w:pPr>
        <w:pStyle w:val="null3"/>
        <w:jc w:val="left"/>
      </w:pPr>
      <w:r>
        <w:rPr>
          <w:rFonts w:ascii="simsun" w:hAnsi="simsun" w:cs="simsun" w:eastAsia="simsun"/>
          <w:sz w:val="24"/>
          <w:b/>
        </w:rPr>
        <w:t>服务内容、要求及标准（标注“★”的内容为关键性技术条款，共2项；标注“■”的内容为重要技术条款项，共12项；其它未作标注的，共14项）</w:t>
      </w:r>
    </w:p>
    <w:tbl>
      <w:tblPr>
        <w:tblW w:w="0" w:type="auto"/>
        <w:tblBorders>
          <w:top w:val="none" w:color="000000" w:sz="4"/>
          <w:left w:val="none" w:color="000000" w:sz="4"/>
          <w:bottom w:val="none" w:color="000000" w:sz="4"/>
          <w:right w:val="none" w:color="000000" w:sz="4"/>
          <w:insideH w:val="none"/>
          <w:insideV w:val="none"/>
        </w:tblBorders>
      </w:tblPr>
      <w:tblGrid>
        <w:gridCol w:w="2035"/>
        <w:gridCol w:w="6271"/>
      </w:tblGrid>
      <w:tr>
        <w:tc>
          <w:tcPr>
            <w:tcW w:type="dxa" w:w="2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类别</w:t>
            </w:r>
          </w:p>
        </w:tc>
        <w:tc>
          <w:tcPr>
            <w:tcW w:type="dxa" w:w="6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服务内容、要求及标准</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一、场地设备配置</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both"/>
            </w:pPr>
            <w:r>
              <w:rPr>
                <w:rFonts w:ascii="simsun" w:hAnsi="simsun" w:cs="simsun" w:eastAsia="simsun"/>
                <w:sz w:val="24"/>
              </w:rPr>
              <w:t>1、■教学场地及软硬件环境</w:t>
            </w:r>
          </w:p>
          <w:p>
            <w:pPr>
              <w:pStyle w:val="null3"/>
              <w:spacing w:before="105" w:after="165"/>
              <w:jc w:val="both"/>
            </w:pPr>
            <w:r>
              <w:rPr>
                <w:rFonts w:ascii="simsun" w:hAnsi="simsun" w:cs="simsun" w:eastAsia="simsun"/>
                <w:sz w:val="24"/>
              </w:rPr>
              <w:t>1.1提供满足单次实训不低于259人的教学场地、设备、网络以及适宜的学习环境。</w:t>
            </w:r>
          </w:p>
          <w:p>
            <w:pPr>
              <w:pStyle w:val="null3"/>
              <w:spacing w:before="105" w:after="165"/>
              <w:jc w:val="both"/>
            </w:pPr>
            <w:r>
              <w:rPr>
                <w:rFonts w:ascii="simsun" w:hAnsi="simsun" w:cs="simsun" w:eastAsia="simsun"/>
                <w:sz w:val="24"/>
              </w:rPr>
              <w:t>1.2 能为学生在实训期间提供一人一台计算机的开发条件，保障每个受训学生具备实操条件。</w:t>
            </w:r>
          </w:p>
          <w:p>
            <w:pPr>
              <w:pStyle w:val="null3"/>
              <w:spacing w:before="105" w:after="165"/>
              <w:jc w:val="both"/>
            </w:pPr>
            <w:r>
              <w:rPr>
                <w:rFonts w:ascii="simsun" w:hAnsi="simsun" w:cs="simsun" w:eastAsia="simsun"/>
                <w:sz w:val="24"/>
              </w:rPr>
              <w:t>1.3 配备线上教学服务平台及实训课程资源。</w:t>
            </w:r>
          </w:p>
          <w:p>
            <w:pPr>
              <w:pStyle w:val="null3"/>
              <w:spacing w:before="105" w:after="165"/>
              <w:jc w:val="both"/>
            </w:pPr>
            <w:r>
              <w:rPr>
                <w:rFonts w:ascii="simsun" w:hAnsi="simsun" w:cs="simsun" w:eastAsia="simsun"/>
                <w:sz w:val="24"/>
              </w:rPr>
              <w:t>2、■食宿条件及环境</w:t>
            </w:r>
          </w:p>
          <w:p>
            <w:pPr>
              <w:pStyle w:val="null3"/>
              <w:spacing w:before="105" w:after="165"/>
              <w:jc w:val="both"/>
            </w:pPr>
            <w:r>
              <w:rPr>
                <w:rFonts w:ascii="simsun" w:hAnsi="simsun" w:cs="simsun" w:eastAsia="simsun"/>
                <w:sz w:val="24"/>
              </w:rPr>
              <w:t>2.1 4周企业实训食宿由供应商统一安排，4周企业实训住宿费用包含在本服务中，学生就餐及水电费由学生自己支付。</w:t>
            </w:r>
          </w:p>
          <w:p>
            <w:pPr>
              <w:pStyle w:val="null3"/>
              <w:spacing w:before="105" w:after="165"/>
              <w:jc w:val="both"/>
            </w:pPr>
            <w:r>
              <w:rPr>
                <w:rFonts w:ascii="simsun" w:hAnsi="simsun" w:cs="simsun" w:eastAsia="simsun"/>
                <w:sz w:val="24"/>
              </w:rPr>
              <w:t>2.2 承诺住宿不超过6人/套；</w:t>
            </w:r>
            <w:r>
              <w:rPr>
                <w:rFonts w:ascii="simsun" w:hAnsi="simsun" w:cs="simsun" w:eastAsia="simsun"/>
                <w:sz w:val="24"/>
                <w:b/>
              </w:rPr>
              <w:t>必须提供集中住宿地具体位置及相关照片，房间数、每房间床位数及住宿地到实训上课地点导航步行图。</w:t>
            </w:r>
          </w:p>
          <w:p>
            <w:pPr>
              <w:pStyle w:val="null3"/>
              <w:spacing w:before="105" w:after="165"/>
              <w:jc w:val="both"/>
            </w:pPr>
            <w:r>
              <w:rPr>
                <w:rFonts w:ascii="simsun" w:hAnsi="simsun" w:cs="simsun" w:eastAsia="simsun"/>
                <w:sz w:val="24"/>
              </w:rPr>
              <w:t>2.3 就餐地与实训地之间步行不超过10分钟、住宿地与实训地之间步行不超过15分钟，超过15分钟的，需要免费提供接送交通工具。</w:t>
            </w:r>
            <w:r>
              <w:rPr>
                <w:rFonts w:ascii="simsun" w:hAnsi="simsun" w:cs="simsun" w:eastAsia="simsun"/>
                <w:sz w:val="24"/>
                <w:b/>
              </w:rPr>
              <w:t>（须提供相关证明材料）</w:t>
            </w:r>
          </w:p>
          <w:p>
            <w:pPr>
              <w:pStyle w:val="null3"/>
              <w:spacing w:before="105" w:after="165"/>
              <w:jc w:val="both"/>
            </w:pPr>
            <w:r>
              <w:rPr>
                <w:rFonts w:ascii="simsun" w:hAnsi="simsun" w:cs="simsun" w:eastAsia="simsun"/>
                <w:sz w:val="24"/>
              </w:rPr>
              <w:t>3、■随训教师办公及住宿条件</w:t>
            </w:r>
          </w:p>
          <w:p>
            <w:pPr>
              <w:pStyle w:val="null3"/>
              <w:spacing w:before="105" w:after="165"/>
              <w:jc w:val="both"/>
            </w:pPr>
            <w:r>
              <w:rPr>
                <w:rFonts w:ascii="simsun" w:hAnsi="simsun" w:cs="simsun" w:eastAsia="simsun"/>
                <w:sz w:val="24"/>
              </w:rPr>
              <w:t>3.1 供应商需为采购人派驻的随训教师提供必要的免费办公条件。</w:t>
            </w:r>
          </w:p>
          <w:p>
            <w:pPr>
              <w:pStyle w:val="null3"/>
              <w:spacing w:before="105" w:after="165"/>
              <w:jc w:val="both"/>
            </w:pPr>
            <w:r>
              <w:rPr>
                <w:rFonts w:ascii="simsun" w:hAnsi="simsun" w:cs="simsun" w:eastAsia="simsun"/>
                <w:sz w:val="24"/>
              </w:rPr>
              <w:t>3.2 供应商需按照采购人规定的费用标准统一为采购人派驻的随训教师提供必要的住宿条件，费用由教师支付，再按采购人相关规定报销。</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二、实训课程要求</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left"/>
            </w:pPr>
            <w:r>
              <w:rPr>
                <w:rFonts w:ascii="simsun" w:hAnsi="simsun" w:cs="simsun" w:eastAsia="simsun"/>
                <w:sz w:val="24"/>
              </w:rPr>
              <w:t>1、■《软件新技术》及《软件工程综合实训》按培养方案中的学时，《软件新技术》为32学时，《软件工程综合实训》为6周。</w:t>
            </w:r>
          </w:p>
          <w:p>
            <w:pPr>
              <w:pStyle w:val="null3"/>
              <w:spacing w:before="105" w:after="165"/>
              <w:jc w:val="both"/>
            </w:pPr>
            <w:r>
              <w:rPr>
                <w:rFonts w:ascii="simsun" w:hAnsi="simsun" w:cs="simsun" w:eastAsia="simsun"/>
                <w:sz w:val="24"/>
              </w:rPr>
              <w:t>2、严格执行采购人制定的培养方案，承担课程各方向的教学大纲、授课计划、教学内容和教学案例的制定，保质保量完成教学任务和教学计划，不得以任何理由擅自更改教学实施计划。确需调整时，须经上报采购人批准后方可变更。</w:t>
            </w:r>
          </w:p>
          <w:p>
            <w:pPr>
              <w:pStyle w:val="null3"/>
              <w:spacing w:before="105" w:after="165"/>
              <w:jc w:val="both"/>
            </w:pPr>
            <w:r>
              <w:rPr>
                <w:rFonts w:ascii="simsun" w:hAnsi="simsun" w:cs="simsun" w:eastAsia="simsun"/>
                <w:sz w:val="24"/>
              </w:rPr>
              <w:t>3、■软件开发方向实训内容要求：</w:t>
            </w:r>
          </w:p>
          <w:p>
            <w:pPr>
              <w:pStyle w:val="null3"/>
              <w:spacing w:before="105" w:after="165"/>
              <w:ind w:firstLine="480"/>
              <w:jc w:val="both"/>
            </w:pPr>
            <w:r>
              <w:rPr>
                <w:rFonts w:ascii="simsun" w:hAnsi="simsun" w:cs="simsun" w:eastAsia="simsun"/>
                <w:sz w:val="24"/>
              </w:rPr>
              <w:t>掌握软件应用开发过程涉及到的主流技术融合进项目开发，这些技术包括但不限于：</w:t>
            </w:r>
          </w:p>
          <w:p>
            <w:pPr>
              <w:pStyle w:val="null3"/>
              <w:spacing w:before="105" w:after="105"/>
              <w:jc w:val="both"/>
            </w:pPr>
            <w:r>
              <w:rPr>
                <w:rFonts w:ascii="simsun" w:hAnsi="simsun" w:cs="simsun" w:eastAsia="simsun"/>
                <w:sz w:val="24"/>
              </w:rPr>
              <w:t>1.</w:t>
            </w:r>
            <w:r>
              <w:rPr>
                <w:rFonts w:ascii="simsun" w:hAnsi="simsun" w:cs="simsun" w:eastAsia="simsun"/>
                <w:sz w:val="24"/>
              </w:rPr>
              <w:t>Java基础、Java Web核心编程；</w:t>
            </w:r>
          </w:p>
          <w:p>
            <w:pPr>
              <w:pStyle w:val="null3"/>
              <w:spacing w:before="105" w:after="105"/>
              <w:jc w:val="both"/>
            </w:pPr>
            <w:r>
              <w:rPr>
                <w:rFonts w:ascii="simsun" w:hAnsi="simsun" w:cs="simsun" w:eastAsia="simsun"/>
                <w:sz w:val="24"/>
              </w:rPr>
              <w:t>2.</w:t>
            </w:r>
            <w:r>
              <w:rPr>
                <w:rFonts w:ascii="simsun" w:hAnsi="simsun" w:cs="simsun" w:eastAsia="simsun"/>
                <w:sz w:val="24"/>
              </w:rPr>
              <w:t>前端技术框架（Node.js、Vue3、Vue全家桶、微信小程序）</w:t>
            </w:r>
          </w:p>
          <w:p>
            <w:pPr>
              <w:pStyle w:val="null3"/>
              <w:spacing w:before="105" w:after="105"/>
              <w:jc w:val="both"/>
            </w:pPr>
            <w:r>
              <w:rPr>
                <w:rFonts w:ascii="simsun" w:hAnsi="simsun" w:cs="simsun" w:eastAsia="simsun"/>
                <w:sz w:val="24"/>
              </w:rPr>
              <w:t>3.</w:t>
            </w:r>
            <w:r>
              <w:rPr>
                <w:rFonts w:ascii="simsun" w:hAnsi="simsun" w:cs="simsun" w:eastAsia="simsun"/>
                <w:sz w:val="24"/>
              </w:rPr>
              <w:t>MyBatis、Mybatis-Plus、Spring、SpringMVC等常用JavaEE企业级框架；</w:t>
            </w:r>
          </w:p>
          <w:p>
            <w:pPr>
              <w:pStyle w:val="null3"/>
              <w:spacing w:before="105" w:after="105"/>
              <w:jc w:val="both"/>
            </w:pPr>
            <w:r>
              <w:rPr>
                <w:rFonts w:ascii="simsun" w:hAnsi="simsun" w:cs="simsun" w:eastAsia="simsun"/>
                <w:sz w:val="24"/>
              </w:rPr>
              <w:t>4.</w:t>
            </w:r>
            <w:r>
              <w:rPr>
                <w:rFonts w:ascii="simsun" w:hAnsi="simsun" w:cs="simsun" w:eastAsia="simsun"/>
                <w:sz w:val="24"/>
              </w:rPr>
              <w:t>JavaEE项目实战（SSM后端框架实现前后端分离；Maven+Git、ElasticSearch搜索引擎、RabbitMQ消息中间件等技术）；</w:t>
            </w:r>
          </w:p>
          <w:p>
            <w:pPr>
              <w:pStyle w:val="null3"/>
              <w:spacing w:before="105" w:after="105"/>
              <w:jc w:val="both"/>
            </w:pPr>
            <w:r>
              <w:rPr>
                <w:rFonts w:ascii="simsun" w:hAnsi="simsun" w:cs="simsun" w:eastAsia="simsun"/>
                <w:sz w:val="24"/>
              </w:rPr>
              <w:t>5.</w:t>
            </w:r>
            <w:r>
              <w:rPr>
                <w:rFonts w:ascii="simsun" w:hAnsi="simsun" w:cs="simsun" w:eastAsia="simsun"/>
                <w:sz w:val="24"/>
              </w:rPr>
              <w:t>SpringBoot、SpringCloud等微服务治理技术；</w:t>
            </w:r>
          </w:p>
          <w:p>
            <w:pPr>
              <w:pStyle w:val="null3"/>
              <w:spacing w:before="105" w:after="105"/>
              <w:jc w:val="both"/>
            </w:pPr>
            <w:r>
              <w:rPr>
                <w:rFonts w:ascii="simsun" w:hAnsi="simsun" w:cs="simsun" w:eastAsia="simsun"/>
                <w:sz w:val="24"/>
              </w:rPr>
              <w:t>6.</w:t>
            </w:r>
            <w:r>
              <w:rPr>
                <w:rFonts w:ascii="simsun" w:hAnsi="simsun" w:cs="simsun" w:eastAsia="simsun"/>
                <w:sz w:val="24"/>
              </w:rPr>
              <w:t>大型分布式项目实战（应用微服务架构、前后端分离技术、分布式消息队列数据一致性、分布式微服务事务处理、分布式微服务鉴权等技术）；</w:t>
            </w:r>
          </w:p>
          <w:p>
            <w:pPr>
              <w:pStyle w:val="null3"/>
              <w:spacing w:before="105" w:after="105"/>
              <w:jc w:val="both"/>
            </w:pPr>
            <w:r>
              <w:rPr>
                <w:rFonts w:ascii="simsun" w:hAnsi="simsun" w:cs="simsun" w:eastAsia="simsun"/>
                <w:sz w:val="24"/>
              </w:rPr>
              <w:t>7.</w:t>
            </w:r>
            <w:r>
              <w:rPr>
                <w:rFonts w:ascii="simsun" w:hAnsi="simsun" w:cs="simsun" w:eastAsia="simsun"/>
                <w:sz w:val="24"/>
              </w:rPr>
              <w:t>微服务架构容器部署和管理技术；</w:t>
            </w:r>
          </w:p>
          <w:p>
            <w:pPr>
              <w:pStyle w:val="null3"/>
              <w:spacing w:before="105" w:after="105"/>
              <w:jc w:val="both"/>
            </w:pPr>
            <w:r>
              <w:rPr>
                <w:rFonts w:ascii="simsun" w:hAnsi="simsun" w:cs="simsun" w:eastAsia="simsun"/>
                <w:sz w:val="24"/>
              </w:rPr>
              <w:t>8.</w:t>
            </w:r>
            <w:r>
              <w:rPr>
                <w:rFonts w:ascii="simsun" w:hAnsi="simsun" w:cs="simsun" w:eastAsia="simsun"/>
                <w:sz w:val="24"/>
              </w:rPr>
              <w:t>Docker容器化部署；</w:t>
            </w:r>
          </w:p>
          <w:p>
            <w:pPr>
              <w:pStyle w:val="null3"/>
              <w:spacing w:before="105" w:after="105"/>
              <w:jc w:val="both"/>
            </w:pPr>
            <w:r>
              <w:rPr>
                <w:rFonts w:ascii="simsun" w:hAnsi="simsun" w:cs="simsun" w:eastAsia="simsun"/>
                <w:sz w:val="24"/>
              </w:rPr>
              <w:t>9.</w:t>
            </w:r>
            <w:r>
              <w:rPr>
                <w:rFonts w:ascii="simsun" w:hAnsi="simsun" w:cs="simsun" w:eastAsia="simsun"/>
                <w:sz w:val="24"/>
              </w:rPr>
              <w:t>AIGC工具的使用和前瞻性技术的引导学习；</w:t>
            </w:r>
          </w:p>
          <w:p>
            <w:pPr>
              <w:pStyle w:val="null3"/>
              <w:spacing w:before="105" w:after="105"/>
              <w:jc w:val="left"/>
            </w:pPr>
            <w:r>
              <w:rPr>
                <w:rFonts w:ascii="simsun" w:hAnsi="simsun" w:cs="simsun" w:eastAsia="simsun"/>
                <w:sz w:val="24"/>
              </w:rPr>
              <w:t>10.实践教学案例资源：提供完整实践教学案例资源，包括实践任务书、实验手册、项目指导书，源代码，相关数据集，微课等。</w:t>
            </w:r>
          </w:p>
          <w:p>
            <w:pPr>
              <w:pStyle w:val="null3"/>
              <w:spacing w:before="105" w:after="165"/>
              <w:jc w:val="both"/>
            </w:pPr>
            <w:r>
              <w:rPr>
                <w:rFonts w:ascii="simsun" w:hAnsi="simsun" w:cs="simsun" w:eastAsia="simsun"/>
                <w:sz w:val="24"/>
              </w:rPr>
              <w:t>4、■人工智能开发方向实训内容要求：</w:t>
            </w:r>
          </w:p>
          <w:p>
            <w:pPr>
              <w:pStyle w:val="null3"/>
              <w:spacing w:before="105" w:after="165"/>
              <w:ind w:firstLine="480"/>
              <w:jc w:val="both"/>
            </w:pPr>
            <w:r>
              <w:rPr>
                <w:rFonts w:ascii="simsun" w:hAnsi="simsun" w:cs="simsun" w:eastAsia="simsun"/>
                <w:sz w:val="24"/>
              </w:rPr>
              <w:t>掌握人工智能涉及到的主流技术融合进项目开发，这些技术包括但不限于：</w:t>
            </w:r>
          </w:p>
          <w:p>
            <w:pPr>
              <w:pStyle w:val="null3"/>
              <w:spacing w:before="105" w:after="105"/>
              <w:jc w:val="both"/>
            </w:pPr>
            <w:r>
              <w:rPr>
                <w:rFonts w:ascii="simsun" w:hAnsi="simsun" w:cs="simsun" w:eastAsia="simsun"/>
                <w:sz w:val="24"/>
              </w:rPr>
              <w:t>1.</w:t>
            </w:r>
            <w:r>
              <w:rPr>
                <w:rFonts w:ascii="simsun" w:hAnsi="simsun" w:cs="simsun" w:eastAsia="simsun"/>
                <w:sz w:val="24"/>
              </w:rPr>
              <w:t>Python程序设计；</w:t>
            </w:r>
          </w:p>
          <w:p>
            <w:pPr>
              <w:pStyle w:val="null3"/>
              <w:spacing w:before="105" w:after="105"/>
              <w:jc w:val="both"/>
            </w:pPr>
            <w:r>
              <w:rPr>
                <w:rFonts w:ascii="simsun" w:hAnsi="simsun" w:cs="simsun" w:eastAsia="simsun"/>
                <w:sz w:val="24"/>
              </w:rPr>
              <w:t>2.</w:t>
            </w:r>
            <w:r>
              <w:rPr>
                <w:rFonts w:ascii="simsun" w:hAnsi="simsun" w:cs="simsun" w:eastAsia="simsun"/>
                <w:sz w:val="24"/>
              </w:rPr>
              <w:t>数据处理与分析，学习如何采集、清洗、存储和处理数据，掌握常用的数据分析方法，如聚类、分类、回归等；</w:t>
            </w:r>
          </w:p>
          <w:p>
            <w:pPr>
              <w:pStyle w:val="null3"/>
              <w:spacing w:before="105" w:after="105"/>
              <w:jc w:val="both"/>
            </w:pPr>
            <w:r>
              <w:rPr>
                <w:rFonts w:ascii="simsun" w:hAnsi="simsun" w:cs="simsun" w:eastAsia="simsun"/>
                <w:sz w:val="24"/>
              </w:rPr>
              <w:t>3.</w:t>
            </w:r>
            <w:r>
              <w:rPr>
                <w:rFonts w:ascii="simsun" w:hAnsi="simsun" w:cs="simsun" w:eastAsia="simsun"/>
                <w:sz w:val="24"/>
              </w:rPr>
              <w:t>机器学习，通过编写代码和调试模型，他们可以深入了解这些算法的工作原理和性能特点；</w:t>
            </w:r>
          </w:p>
          <w:p>
            <w:pPr>
              <w:pStyle w:val="null3"/>
              <w:spacing w:before="105" w:after="105"/>
              <w:jc w:val="both"/>
            </w:pPr>
            <w:r>
              <w:rPr>
                <w:rFonts w:ascii="simsun" w:hAnsi="simsun" w:cs="simsun" w:eastAsia="simsun"/>
                <w:sz w:val="24"/>
              </w:rPr>
              <w:t>4.</w:t>
            </w:r>
            <w:r>
              <w:rPr>
                <w:rFonts w:ascii="simsun" w:hAnsi="simsun" w:cs="simsun" w:eastAsia="simsun"/>
                <w:sz w:val="24"/>
              </w:rPr>
              <w:t>深度学习，使用框架（如TensorFlow、PyTorch）构建和训练神经网络，并将其应用于实际问题中，如图像识别、自然语言处理等；</w:t>
            </w:r>
          </w:p>
          <w:p>
            <w:pPr>
              <w:pStyle w:val="null3"/>
              <w:spacing w:before="105" w:after="105"/>
              <w:jc w:val="both"/>
            </w:pPr>
            <w:r>
              <w:rPr>
                <w:rFonts w:ascii="simsun" w:hAnsi="simsun" w:cs="simsun" w:eastAsia="simsun"/>
                <w:sz w:val="24"/>
              </w:rPr>
              <w:t>5.</w:t>
            </w:r>
            <w:r>
              <w:rPr>
                <w:rFonts w:ascii="simsun" w:hAnsi="simsun" w:cs="simsun" w:eastAsia="simsun"/>
                <w:sz w:val="24"/>
              </w:rPr>
              <w:t>自然语言处理，学生将实践文本分类、情感分析、机器翻译等任务，使用相关工具和算法处理文本数据，并评估模型的性能；</w:t>
            </w:r>
          </w:p>
          <w:p>
            <w:pPr>
              <w:pStyle w:val="null3"/>
              <w:spacing w:before="105" w:after="105"/>
              <w:jc w:val="both"/>
            </w:pPr>
            <w:r>
              <w:rPr>
                <w:rFonts w:ascii="simsun" w:hAnsi="simsun" w:cs="simsun" w:eastAsia="simsun"/>
                <w:sz w:val="24"/>
              </w:rPr>
              <w:t>6.</w:t>
            </w:r>
            <w:r>
              <w:rPr>
                <w:rFonts w:ascii="simsun" w:hAnsi="simsun" w:cs="simsun" w:eastAsia="simsun"/>
                <w:sz w:val="24"/>
              </w:rPr>
              <w:t>图像识别、目标检测等实训内容。使用图像处理库和算法，对图像数据进行分析和处理；</w:t>
            </w:r>
          </w:p>
          <w:p>
            <w:pPr>
              <w:pStyle w:val="null3"/>
              <w:spacing w:before="105" w:after="105"/>
              <w:jc w:val="both"/>
            </w:pPr>
            <w:r>
              <w:rPr>
                <w:rFonts w:ascii="simsun" w:hAnsi="simsun" w:cs="simsun" w:eastAsia="simsun"/>
                <w:sz w:val="24"/>
              </w:rPr>
              <w:t>7.</w:t>
            </w:r>
            <w:r>
              <w:rPr>
                <w:rFonts w:ascii="simsun" w:hAnsi="simsun" w:cs="simsun" w:eastAsia="simsun"/>
                <w:sz w:val="24"/>
              </w:rPr>
              <w:t>YOLO模型的综合实践开发，图像中检测到物体并识别出物体在图像中所在的位置，YOLO相比于以往的带有建议框的神经网络，速度大有提升；</w:t>
            </w:r>
          </w:p>
          <w:p>
            <w:pPr>
              <w:pStyle w:val="null3"/>
              <w:spacing w:before="105" w:after="105"/>
              <w:jc w:val="both"/>
            </w:pPr>
            <w:r>
              <w:rPr>
                <w:rFonts w:ascii="simsun" w:hAnsi="simsun" w:cs="simsun" w:eastAsia="simsun"/>
                <w:sz w:val="24"/>
              </w:rPr>
              <w:t>8.</w:t>
            </w:r>
            <w:r>
              <w:rPr>
                <w:rFonts w:ascii="simsun" w:hAnsi="simsun" w:cs="simsun" w:eastAsia="simsun"/>
                <w:sz w:val="24"/>
              </w:rPr>
              <w:t>大型项目实战，UNet3+的遥感影像语义分割系统实践项目；</w:t>
            </w:r>
          </w:p>
          <w:p>
            <w:pPr>
              <w:pStyle w:val="null3"/>
              <w:spacing w:before="105" w:after="105"/>
              <w:jc w:val="both"/>
            </w:pPr>
            <w:r>
              <w:rPr>
                <w:rFonts w:ascii="simsun" w:hAnsi="simsun" w:cs="simsun" w:eastAsia="simsun"/>
                <w:sz w:val="24"/>
              </w:rPr>
              <w:t>9.</w:t>
            </w:r>
            <w:r>
              <w:rPr>
                <w:rFonts w:ascii="simsun" w:hAnsi="simsun" w:cs="simsun" w:eastAsia="simsun"/>
                <w:sz w:val="24"/>
              </w:rPr>
              <w:t>毕业设计应用项目（适应现代社会的发展，从吃、住、行、游、购、娱、环境、健康等角度选取题目，覆盖面广）；</w:t>
            </w:r>
          </w:p>
          <w:p>
            <w:pPr>
              <w:pStyle w:val="null3"/>
              <w:spacing w:before="105" w:after="105"/>
              <w:jc w:val="both"/>
            </w:pPr>
            <w:r>
              <w:rPr>
                <w:rFonts w:ascii="simsun" w:hAnsi="simsun" w:cs="simsun" w:eastAsia="simsun"/>
                <w:sz w:val="24"/>
              </w:rPr>
              <w:t>10.</w:t>
            </w:r>
            <w:r>
              <w:rPr>
                <w:rFonts w:ascii="simsun" w:hAnsi="simsun" w:cs="simsun" w:eastAsia="simsun"/>
                <w:sz w:val="24"/>
              </w:rPr>
              <w:t>AIGC工具的使用和前瞻性技术的引导学习，如深度学习模型的研究与应用；</w:t>
            </w:r>
          </w:p>
          <w:p>
            <w:pPr>
              <w:pStyle w:val="null3"/>
              <w:spacing w:before="105" w:after="105"/>
              <w:jc w:val="both"/>
            </w:pPr>
            <w:r>
              <w:rPr>
                <w:rFonts w:ascii="simsun" w:hAnsi="simsun" w:cs="simsun" w:eastAsia="simsun"/>
                <w:sz w:val="24"/>
              </w:rPr>
              <w:t>11.</w:t>
            </w:r>
            <w:r>
              <w:rPr>
                <w:rFonts w:ascii="simsun" w:hAnsi="simsun" w:cs="simsun" w:eastAsia="simsun"/>
                <w:sz w:val="24"/>
              </w:rPr>
              <w:t>实践教学案例资源：提供完整实践教学案例资源，包括实践任务书、实验手册、项目指导书，源代码，相关数据集，微课等。</w:t>
            </w:r>
          </w:p>
          <w:p>
            <w:pPr>
              <w:pStyle w:val="null3"/>
              <w:spacing w:before="105" w:after="165"/>
              <w:jc w:val="both"/>
            </w:pPr>
            <w:r>
              <w:rPr>
                <w:rFonts w:ascii="simsun" w:hAnsi="simsun" w:cs="simsun" w:eastAsia="simsun"/>
                <w:sz w:val="24"/>
              </w:rPr>
              <w:t>5、■虚拟现实开发方向实训内容要求：</w:t>
            </w:r>
          </w:p>
          <w:p>
            <w:pPr>
              <w:pStyle w:val="null3"/>
              <w:spacing w:before="105" w:after="165"/>
              <w:ind w:firstLine="480"/>
              <w:jc w:val="both"/>
            </w:pPr>
            <w:r>
              <w:rPr>
                <w:rFonts w:ascii="simsun" w:hAnsi="simsun" w:cs="simsun" w:eastAsia="simsun"/>
                <w:sz w:val="24"/>
              </w:rPr>
              <w:t>掌握涉及到的主流技术融合进项目开发。这些技术包括但不限于：</w:t>
            </w:r>
          </w:p>
          <w:p>
            <w:pPr>
              <w:pStyle w:val="null3"/>
              <w:spacing w:before="105" w:after="105"/>
              <w:jc w:val="both"/>
            </w:pPr>
            <w:r>
              <w:rPr>
                <w:rFonts w:ascii="simsun" w:hAnsi="simsun" w:cs="simsun" w:eastAsia="simsun"/>
                <w:sz w:val="24"/>
              </w:rPr>
              <w:t>1.</w:t>
            </w:r>
            <w:r>
              <w:rPr>
                <w:rFonts w:ascii="simsun" w:hAnsi="simsun" w:cs="simsun" w:eastAsia="simsun"/>
                <w:sz w:val="24"/>
              </w:rPr>
              <w:t>虚拟现实技术的原理和基本原则，为虚拟现实环境进行设计和构建；</w:t>
            </w:r>
          </w:p>
          <w:p>
            <w:pPr>
              <w:pStyle w:val="null3"/>
              <w:spacing w:before="105" w:after="105"/>
              <w:jc w:val="both"/>
            </w:pPr>
            <w:r>
              <w:rPr>
                <w:rFonts w:ascii="simsun" w:hAnsi="simsun" w:cs="simsun" w:eastAsia="simsun"/>
                <w:sz w:val="24"/>
              </w:rPr>
              <w:t>2.</w:t>
            </w:r>
            <w:r>
              <w:rPr>
                <w:rFonts w:ascii="simsun" w:hAnsi="simsun" w:cs="simsun" w:eastAsia="simsun"/>
                <w:sz w:val="24"/>
              </w:rPr>
              <w:t>虚拟现实技术的开发方法和工具；</w:t>
            </w:r>
          </w:p>
          <w:p>
            <w:pPr>
              <w:pStyle w:val="null3"/>
              <w:spacing w:before="105" w:after="105"/>
              <w:jc w:val="both"/>
            </w:pPr>
            <w:r>
              <w:rPr>
                <w:rFonts w:ascii="simsun" w:hAnsi="simsun" w:cs="simsun" w:eastAsia="simsun"/>
                <w:sz w:val="24"/>
              </w:rPr>
              <w:t>3.</w:t>
            </w:r>
            <w:r>
              <w:rPr>
                <w:rFonts w:ascii="simsun" w:hAnsi="simsun" w:cs="simsun" w:eastAsia="simsun"/>
                <w:sz w:val="24"/>
              </w:rPr>
              <w:t>使用专业软件和编程语言，如Unity和C#，来创建和开发虚拟现实应用程序和场景；</w:t>
            </w:r>
          </w:p>
          <w:p>
            <w:pPr>
              <w:pStyle w:val="null3"/>
              <w:spacing w:before="105" w:after="105"/>
              <w:jc w:val="both"/>
            </w:pPr>
            <w:r>
              <w:rPr>
                <w:rFonts w:ascii="simsun" w:hAnsi="simsun" w:cs="simsun" w:eastAsia="simsun"/>
                <w:sz w:val="24"/>
              </w:rPr>
              <w:t>4.</w:t>
            </w:r>
            <w:r>
              <w:rPr>
                <w:rFonts w:ascii="simsun" w:hAnsi="simsun" w:cs="simsun" w:eastAsia="simsun"/>
                <w:sz w:val="24"/>
              </w:rPr>
              <w:t>掌握虚拟现实应用的开发流程和技巧，包括C#语法、常用类以及Unity3D脚本程序知识；</w:t>
            </w:r>
          </w:p>
          <w:p>
            <w:pPr>
              <w:pStyle w:val="null3"/>
              <w:spacing w:before="105" w:after="105"/>
              <w:jc w:val="both"/>
            </w:pPr>
            <w:r>
              <w:rPr>
                <w:rFonts w:ascii="simsun" w:hAnsi="simsun" w:cs="simsun" w:eastAsia="simsun"/>
                <w:sz w:val="24"/>
              </w:rPr>
              <w:t>5.</w:t>
            </w:r>
            <w:r>
              <w:rPr>
                <w:rFonts w:ascii="simsun" w:hAnsi="simsun" w:cs="simsun" w:eastAsia="simsun"/>
                <w:sz w:val="24"/>
              </w:rPr>
              <w:t>在虚拟环境里完全按照产品的真实性模拟产品的实际装配过程。这包括产品的外观、组成结构、物理碰撞、运作原理、拆装顺序、工具选择、零部件空间位置等内容的模拟；</w:t>
            </w:r>
          </w:p>
          <w:p>
            <w:pPr>
              <w:pStyle w:val="null3"/>
              <w:spacing w:before="105" w:after="105"/>
              <w:jc w:val="both"/>
            </w:pPr>
            <w:r>
              <w:rPr>
                <w:rFonts w:ascii="simsun" w:hAnsi="simsun" w:cs="simsun" w:eastAsia="simsun"/>
                <w:sz w:val="24"/>
              </w:rPr>
              <w:t>6.</w:t>
            </w:r>
            <w:r>
              <w:rPr>
                <w:rFonts w:ascii="simsun" w:hAnsi="simsun" w:cs="simsun" w:eastAsia="simsun"/>
                <w:sz w:val="24"/>
              </w:rPr>
              <w:t>基于HTC VIVE或其他虚拟现实（VR）设备的VR应用系统开发；</w:t>
            </w:r>
          </w:p>
          <w:p>
            <w:pPr>
              <w:pStyle w:val="null3"/>
              <w:spacing w:before="105" w:after="105"/>
              <w:jc w:val="both"/>
            </w:pPr>
            <w:r>
              <w:rPr>
                <w:rFonts w:ascii="simsun" w:hAnsi="simsun" w:cs="simsun" w:eastAsia="simsun"/>
                <w:sz w:val="24"/>
              </w:rPr>
              <w:t>7.</w:t>
            </w:r>
            <w:r>
              <w:rPr>
                <w:rFonts w:ascii="simsun" w:hAnsi="simsun" w:cs="simsun" w:eastAsia="simsun"/>
                <w:sz w:val="24"/>
              </w:rPr>
              <w:t>虚拟现实应用案例开发，包括动画系统、导航系统、UGUI事件系统等；</w:t>
            </w:r>
          </w:p>
          <w:p>
            <w:pPr>
              <w:pStyle w:val="null3"/>
              <w:spacing w:before="105" w:after="105"/>
              <w:jc w:val="both"/>
            </w:pPr>
            <w:r>
              <w:rPr>
                <w:rFonts w:ascii="simsun" w:hAnsi="simsun" w:cs="simsun" w:eastAsia="simsun"/>
                <w:sz w:val="24"/>
              </w:rPr>
              <w:t>8.</w:t>
            </w:r>
            <w:r>
              <w:rPr>
                <w:rFonts w:ascii="simsun" w:hAnsi="simsun" w:cs="simsun" w:eastAsia="simsun"/>
                <w:sz w:val="24"/>
              </w:rPr>
              <w:t>AIGC工具的使用和前瞻性技术的引导学习；</w:t>
            </w:r>
          </w:p>
          <w:p>
            <w:pPr>
              <w:pStyle w:val="null3"/>
              <w:spacing w:before="105" w:after="105"/>
              <w:jc w:val="both"/>
            </w:pPr>
            <w:r>
              <w:rPr>
                <w:rFonts w:ascii="simsun" w:hAnsi="simsun" w:cs="simsun" w:eastAsia="simsun"/>
                <w:sz w:val="24"/>
              </w:rPr>
              <w:t>9.</w:t>
            </w:r>
            <w:r>
              <w:rPr>
                <w:rFonts w:ascii="simsun" w:hAnsi="simsun" w:cs="simsun" w:eastAsia="simsun"/>
                <w:sz w:val="24"/>
              </w:rPr>
              <w:t>实践教学案例资源：提供完整实践教学案例资源，包括实践任务书、实验手册、项目指导书，源代码，相关数据集，微课等。</w:t>
            </w:r>
          </w:p>
          <w:p>
            <w:pPr>
              <w:pStyle w:val="null3"/>
              <w:spacing w:before="105" w:after="165"/>
              <w:jc w:val="both"/>
            </w:pPr>
            <w:r>
              <w:rPr>
                <w:rFonts w:ascii="simsun" w:hAnsi="simsun" w:cs="simsun" w:eastAsia="simsun"/>
                <w:sz w:val="24"/>
              </w:rPr>
              <w:t>6、■实训内容需包括以下类型：</w:t>
            </w:r>
          </w:p>
          <w:p>
            <w:pPr>
              <w:pStyle w:val="null3"/>
              <w:spacing w:before="105" w:after="165"/>
              <w:jc w:val="both"/>
            </w:pPr>
            <w:r>
              <w:rPr>
                <w:rFonts w:ascii="simsun" w:hAnsi="simsun" w:cs="simsun" w:eastAsia="simsun"/>
                <w:sz w:val="24"/>
              </w:rPr>
              <w:t>（1）商业项目案例式教学：各个方向采用案例式教学模式，以多个真实商业项目案例为原型，遵照软件工程实施规范与实施流程，以团队加个人的方式进行核心技能提升训练；</w:t>
            </w:r>
          </w:p>
          <w:p>
            <w:pPr>
              <w:pStyle w:val="null3"/>
              <w:spacing w:before="105" w:after="165"/>
              <w:jc w:val="both"/>
            </w:pPr>
            <w:r>
              <w:rPr>
                <w:rFonts w:ascii="simsun" w:hAnsi="simsun" w:cs="simsun" w:eastAsia="simsun"/>
                <w:sz w:val="24"/>
              </w:rPr>
              <w:t>（2）职业素养与创新创业辅导：要求供应商在实施过程中贯穿职业素养训练课程和创新创业意识和能力培养课程。让学生感受企业文化，体验团队合作精神，具有较好的组织管理能力，养成良好的表达、沟通与协作习惯, 掌握笔试、面试技巧， 懂得商务礼仪，能够明确规划自己的职业发展道路。</w:t>
            </w:r>
          </w:p>
          <w:p>
            <w:pPr>
              <w:pStyle w:val="null3"/>
              <w:spacing w:before="105" w:after="165"/>
              <w:jc w:val="both"/>
            </w:pPr>
            <w:r>
              <w:rPr>
                <w:rFonts w:ascii="simsun" w:hAnsi="simsun" w:cs="simsun" w:eastAsia="simsun"/>
                <w:sz w:val="24"/>
              </w:rPr>
              <w:t>7、实训课程其他要求</w:t>
            </w:r>
          </w:p>
          <w:p>
            <w:pPr>
              <w:pStyle w:val="null3"/>
              <w:spacing w:before="105" w:after="165"/>
              <w:jc w:val="both"/>
            </w:pPr>
            <w:r>
              <w:rPr>
                <w:rFonts w:ascii="simsun" w:hAnsi="simsun" w:cs="simsun" w:eastAsia="simsun"/>
                <w:sz w:val="24"/>
              </w:rPr>
              <w:t>（1）提供免费线上教学平台上的相关课程资源至少3门，供学生补充学习使用。</w:t>
            </w:r>
          </w:p>
          <w:p>
            <w:pPr>
              <w:pStyle w:val="null3"/>
              <w:spacing w:before="105" w:after="165"/>
              <w:jc w:val="both"/>
            </w:pPr>
            <w:r>
              <w:rPr>
                <w:rFonts w:ascii="simsun" w:hAnsi="simsun" w:cs="simsun" w:eastAsia="simsun"/>
                <w:sz w:val="24"/>
              </w:rPr>
              <w:t>（2）在实训过程中适当融入课程思政。</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三、实训支撑材料</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both"/>
            </w:pPr>
            <w:r>
              <w:rPr>
                <w:rFonts w:ascii="simsun" w:hAnsi="simsun" w:cs="simsun" w:eastAsia="simsun"/>
                <w:sz w:val="24"/>
              </w:rPr>
              <w:t>1、实训计划：细化到每半天；</w:t>
            </w:r>
            <w:r>
              <w:rPr>
                <w:rFonts w:ascii="simsun" w:hAnsi="simsun" w:cs="simsun" w:eastAsia="simsun"/>
                <w:sz w:val="24"/>
                <w:b/>
              </w:rPr>
              <w:t>（要求提供证明材料）</w:t>
            </w:r>
          </w:p>
          <w:p>
            <w:pPr>
              <w:pStyle w:val="null3"/>
              <w:spacing w:before="105" w:after="165"/>
              <w:jc w:val="both"/>
            </w:pPr>
            <w:r>
              <w:rPr>
                <w:rFonts w:ascii="simsun" w:hAnsi="simsun" w:cs="simsun" w:eastAsia="simsun"/>
                <w:sz w:val="24"/>
              </w:rPr>
              <w:t>2、实训管理相关制度；</w:t>
            </w:r>
          </w:p>
          <w:p>
            <w:pPr>
              <w:pStyle w:val="null3"/>
              <w:spacing w:before="105" w:after="165"/>
              <w:jc w:val="both"/>
            </w:pPr>
            <w:r>
              <w:rPr>
                <w:rFonts w:ascii="simsun" w:hAnsi="simsun" w:cs="simsun" w:eastAsia="simsun"/>
                <w:sz w:val="24"/>
              </w:rPr>
              <w:t>3、考核学生的评价体系，以项目化形式，按照分阶段进行（包括团队考核与个人考核相结合的方式）</w:t>
            </w:r>
          </w:p>
          <w:p>
            <w:pPr>
              <w:pStyle w:val="null3"/>
              <w:spacing w:before="105" w:after="165"/>
              <w:jc w:val="both"/>
            </w:pPr>
            <w:r>
              <w:rPr>
                <w:rFonts w:ascii="simsun" w:hAnsi="simsun" w:cs="simsun" w:eastAsia="simsun"/>
                <w:sz w:val="24"/>
              </w:rPr>
              <w:t>4、参训学生对实训基地和师资的服务评价和意见反馈机制；</w:t>
            </w:r>
          </w:p>
          <w:p>
            <w:pPr>
              <w:pStyle w:val="null3"/>
              <w:spacing w:before="105" w:after="165"/>
              <w:jc w:val="both"/>
            </w:pPr>
            <w:r>
              <w:rPr>
                <w:rFonts w:ascii="simsun" w:hAnsi="simsun" w:cs="simsun" w:eastAsia="simsun"/>
                <w:sz w:val="24"/>
                <w:b/>
              </w:rPr>
              <w:t>5</w:t>
            </w:r>
            <w:r>
              <w:rPr>
                <w:rFonts w:ascii="simsun" w:hAnsi="simsun" w:cs="simsun" w:eastAsia="simsun"/>
                <w:sz w:val="24"/>
                <w:b/>
              </w:rPr>
              <w:t>、</w:t>
            </w:r>
            <w:r>
              <w:rPr>
                <w:rFonts w:ascii="simsun" w:hAnsi="simsun" w:cs="simsun" w:eastAsia="simsun"/>
                <w:sz w:val="24"/>
                <w:b/>
              </w:rPr>
              <w:t>提供主要软件、硬件设备清单。</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四、师资配置</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both"/>
            </w:pPr>
            <w:r>
              <w:rPr>
                <w:rFonts w:ascii="simsun" w:hAnsi="simsun" w:cs="simsun" w:eastAsia="simsun"/>
                <w:sz w:val="24"/>
              </w:rPr>
              <w:t>1、■师资数量：每班学生容量不得超过60名，每班配置1位技术主讲教师、1位辅导教师、1位班主任。实训教学须采用面授方式，按师生比1:15（或&lt;15）配备企业指导教师实施双导师毕业设计指导。</w:t>
            </w:r>
            <w:r>
              <w:rPr>
                <w:rFonts w:ascii="simsun" w:hAnsi="simsun" w:cs="simsun" w:eastAsia="simsun"/>
                <w:sz w:val="24"/>
                <w:b/>
              </w:rPr>
              <w:t>（要求提供师资清单及在职证明材料）</w:t>
            </w:r>
          </w:p>
          <w:p>
            <w:pPr>
              <w:pStyle w:val="null3"/>
              <w:spacing w:before="105" w:after="165"/>
              <w:jc w:val="both"/>
            </w:pPr>
            <w:r>
              <w:rPr>
                <w:rFonts w:ascii="simsun" w:hAnsi="simsun" w:cs="simsun" w:eastAsia="simsun"/>
                <w:sz w:val="24"/>
              </w:rPr>
              <w:t>2、■教学能力：主讲教师具备3年或以上工作经历、计算机相关专业本科及以上学历或者具有计算机技术与软件技术资格中级及以上证书。（</w:t>
            </w:r>
            <w:r>
              <w:rPr>
                <w:rFonts w:ascii="simsun" w:hAnsi="simsun" w:cs="simsun" w:eastAsia="simsun"/>
                <w:sz w:val="24"/>
                <w:b/>
              </w:rPr>
              <w:t>提供配套的详细人员配置清单。</w:t>
            </w:r>
            <w:r>
              <w:rPr>
                <w:rFonts w:ascii="simsun" w:hAnsi="simsun" w:cs="simsun" w:eastAsia="simsun"/>
                <w:sz w:val="24"/>
              </w:rPr>
              <w:t>）</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五、实训过程管理</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both"/>
            </w:pPr>
            <w:r>
              <w:rPr>
                <w:rFonts w:ascii="simsun" w:hAnsi="simsun" w:cs="simsun" w:eastAsia="simsun"/>
                <w:sz w:val="24"/>
              </w:rPr>
              <w:t>1、要求供应商对实训进行考核和成绩评定，并及时将成绩录入学院的成绩管理系统。</w:t>
            </w:r>
          </w:p>
          <w:p>
            <w:pPr>
              <w:pStyle w:val="null3"/>
              <w:spacing w:before="105" w:after="165"/>
              <w:jc w:val="both"/>
            </w:pPr>
            <w:r>
              <w:rPr>
                <w:rFonts w:ascii="simsun" w:hAnsi="simsun" w:cs="simsun" w:eastAsia="simsun"/>
                <w:sz w:val="24"/>
              </w:rPr>
              <w:t>2、要求供应商设立教学档案柜，按照采购人要求提供完整的所有环节教学档案，在实训实习完成后需配合完成采购人所需各类教学档案的归档整理。</w:t>
            </w:r>
          </w:p>
          <w:p>
            <w:pPr>
              <w:pStyle w:val="null3"/>
              <w:spacing w:before="105" w:after="165"/>
              <w:jc w:val="both"/>
            </w:pPr>
            <w:r>
              <w:rPr>
                <w:rFonts w:ascii="simsun" w:hAnsi="simsun" w:cs="simsun" w:eastAsia="simsun"/>
                <w:sz w:val="24"/>
              </w:rPr>
              <w:t>3、要求供应商指派一名固定联络人员，每周负责向采购人主管领导书面汇报学生动态，出现违纪等异常现象及时向采购人学生工作办公室汇报。</w:t>
            </w:r>
          </w:p>
          <w:p>
            <w:pPr>
              <w:pStyle w:val="null3"/>
              <w:spacing w:before="105" w:after="165"/>
              <w:jc w:val="both"/>
            </w:pPr>
            <w:r>
              <w:rPr>
                <w:rFonts w:ascii="simsun" w:hAnsi="simsun" w:cs="simsun" w:eastAsia="simsun"/>
                <w:sz w:val="24"/>
              </w:rPr>
              <w:t>4、要求供应商配合采购人完成其他学生工作， 包括但不限于：毕业生校内及离校前的相关安全教育、学风建设和重点学生关注工作等；开展丰富的文体活动，给学生营造健康积极向上的学习氛围；及时组织实训基地学生填写相关表格等。未经采购人书面同意，在实训期间，学生不得以任何理由让学生提前离开实训基地。</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六、辅助毕业设计指导</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both"/>
            </w:pPr>
            <w:r>
              <w:rPr>
                <w:rFonts w:ascii="simsun" w:hAnsi="simsun" w:cs="simsun" w:eastAsia="simsun"/>
                <w:sz w:val="24"/>
              </w:rPr>
              <w:t>■按照《泉州师范学院毕业论文(设计)工作管理规定》和工作安排，企业导师协助校内导师指导学生完成毕业设项目，企业导师侧重负责指导学生完成项目的设计与实现，并辅助校内导师做好相关记录和文档整理工作；供应商提供的毕业设计应用项目应适应现代社会的发展，从吃、住、行、游、购、娱、环境、健康等角度选取题目，覆盖面广。</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七、实习指导</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both"/>
            </w:pPr>
            <w:r>
              <w:rPr>
                <w:rFonts w:ascii="simsun" w:hAnsi="simsun" w:cs="simsun" w:eastAsia="simsun"/>
                <w:sz w:val="24"/>
              </w:rPr>
              <w:t>供应商推荐学生至实习单位，未获推荐实习单位同学由企业组织在校内进行企业级项目现场实习，需制定详细的实习推荐及现场实习方案。</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八、学生保险与安全管理</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both"/>
            </w:pPr>
            <w:r>
              <w:rPr>
                <w:rFonts w:ascii="simsun" w:hAnsi="simsun" w:cs="simsun" w:eastAsia="simsun"/>
                <w:sz w:val="24"/>
              </w:rPr>
              <w:t>供应商负责学生在企业实训期间的教育管理和安全管理，并承担相应的责任；为学生购买企业实训期间意外伤害险。</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九、学生就业推荐</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simsun" w:hAnsi="simsun" w:cs="simsun" w:eastAsia="simsun"/>
                <w:sz w:val="24"/>
              </w:rPr>
              <w:t>1、■提供合理的就业指导课程体系方案和就业推荐方案；提供推荐企业清单，具有一定数量的世界500强或大中型国有企业及大公司。</w:t>
            </w:r>
          </w:p>
          <w:p>
            <w:pPr>
              <w:pStyle w:val="null3"/>
              <w:spacing w:before="105" w:after="165"/>
              <w:jc w:val="both"/>
            </w:pPr>
            <w:r>
              <w:rPr>
                <w:rFonts w:ascii="simsun" w:hAnsi="simsun" w:cs="simsun" w:eastAsia="simsun"/>
                <w:sz w:val="24"/>
              </w:rPr>
              <w:t>2、供应商指派一名负责学生就业工作的联络人员，全程负责毕业生的就业指导和推荐工作，并制定详细的就业服务方案。</w:t>
            </w:r>
          </w:p>
          <w:p>
            <w:pPr>
              <w:pStyle w:val="null3"/>
              <w:spacing w:before="105" w:after="165"/>
              <w:jc w:val="both"/>
            </w:pPr>
            <w:r>
              <w:rPr>
                <w:rFonts w:ascii="simsun" w:hAnsi="simsun" w:cs="simsun" w:eastAsia="simsun"/>
                <w:sz w:val="24"/>
              </w:rPr>
              <w:t>3、★每生至少享受3次就业推荐。</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65"/>
              <w:jc w:val="center"/>
            </w:pPr>
            <w:r>
              <w:rPr>
                <w:rFonts w:ascii="simsun" w:hAnsi="simsun" w:cs="simsun" w:eastAsia="simsun"/>
                <w:sz w:val="24"/>
              </w:rPr>
              <w:t>★十、服务要求</w:t>
            </w:r>
          </w:p>
        </w:tc>
        <w:tc>
          <w:tcPr>
            <w:tcW w:type="dxa" w:w="6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simsun" w:hAnsi="simsun" w:cs="simsun" w:eastAsia="simsun"/>
                <w:sz w:val="24"/>
              </w:rPr>
              <w:t>1、严格按照本项目要求保质保量地完成全部任务。</w:t>
            </w:r>
          </w:p>
          <w:p>
            <w:pPr>
              <w:pStyle w:val="null3"/>
              <w:spacing w:before="105" w:after="105"/>
              <w:jc w:val="left"/>
            </w:pPr>
            <w:r>
              <w:rPr>
                <w:rFonts w:ascii="simsun" w:hAnsi="simsun" w:cs="simsun" w:eastAsia="simsun"/>
                <w:sz w:val="24"/>
              </w:rPr>
              <w:t>2、所供服务在服务期限内因人员教学和服务质量问题，应采购人要求，供应商负责及时更换人员。</w:t>
            </w:r>
          </w:p>
          <w:p>
            <w:pPr>
              <w:pStyle w:val="null3"/>
              <w:spacing w:before="105" w:after="105"/>
              <w:jc w:val="left"/>
            </w:pPr>
            <w:r>
              <w:rPr>
                <w:rFonts w:ascii="simsun" w:hAnsi="simsun" w:cs="simsun" w:eastAsia="simsun"/>
                <w:sz w:val="24"/>
              </w:rPr>
              <w:t>3、由于供应商原因，造成本项目质量、安全等事件，自愿承担全部经济责任及相关赔偿损失。</w:t>
            </w:r>
          </w:p>
          <w:p>
            <w:pPr>
              <w:pStyle w:val="null3"/>
              <w:spacing w:before="105" w:after="105"/>
              <w:jc w:val="left"/>
            </w:pPr>
            <w:r>
              <w:rPr>
                <w:rFonts w:ascii="simsun" w:hAnsi="simsun" w:cs="simsun" w:eastAsia="simsun"/>
                <w:sz w:val="24"/>
              </w:rPr>
              <w:t>4、为本项目所派人员进行相应服务时，不得出现无故不到岗、早退等情况（如因供应商服务不到位，不能满足招标人正常工作要求时，采购人可采取必要的补救措施，由此产生的风险、违约责任和发生的费用全部由供应商承担）。</w:t>
            </w:r>
          </w:p>
        </w:tc>
      </w:tr>
    </w:tbl>
    <w:p>
      <w:pPr>
        <w:pStyle w:val="null3"/>
        <w:jc w:val="left"/>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签订合同15天内完成服务交付实施计划，具体按照学校教学实际协商。</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采购人验收合格后。</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1、期次1，说明：（一）实训服务、实习指导验收标准： 采购人对成交供应商提供的服务，依据下列标准进行验收（考核）： 1、成交供应商所提供的服务与投标文件和采购合同一致，达到本采购项目技术要求中规定的标准。 2、成交供应商在服务过程中提供的各项实训实习材料应该符合采购人教学材料的要求。 3、成交供应商通过对参与实训实习学生进行三次摸底就业意向调查，因学生自身原因自愿放弃就业的除外，有意向就业的毕业生至少获得3次就业推荐机会。 4、在服务过程中，采购人所出现的答疑与相关问题得到妥善解决，并运行正常。 5、在服务过程中，采购人的学生和老师对成交供应商的相关服务提出评价服务，并及时进行响应。 6、在服务规定时间内完成服务，成交供应商提出验收请求并经采购人验收通过。 （二）验收程序： 1、服务交付实施计划检验：成交供应商在服务实施前需提供服务交付实施计划，应经采购人认可后实施。服务交付实施计划必须符合验收标准的要求。 2、验收：实训实习服务结束后，项目具备验收条件后，成交供应商应向采购人提出验收请求并提供完整的项目交接资料及交接报告。采购人收到验收请求后组织验收，验收合格后，签发验收单；验收不合格，采购人有权选择通知对验收材料进行整改，收到整改通知日起30天内完成整改，逾期未处理，将按合同违约规定处理，由此产生的费用和采购人的损失，由供应商承担。</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1、成交供应商实施4周学生企业实训及3周企业入校实训结束后，经采购人针对实训服务最终验收合格，且采购人收到成交供应商提供的发票等材料后，达到付款条件起30日内，支付合同总金额的50.00%</w:t>
            </w:r>
          </w:p>
          <w:p>
            <w:pPr>
              <w:pStyle w:val="null3"/>
            </w:pPr>
            <w:r>
              <w:rPr/>
              <w:t>2、成交供应商实施毕业设计指导、8周实习指导结束后，经采购人针对毕业设计指导、实习指导服务最终验收合格后，且采购人收到成交供应商提供的发票等材料后，达到付款条件起30日内，支付合同总金额的40.00%</w:t>
            </w:r>
          </w:p>
          <w:p>
            <w:pPr>
              <w:pStyle w:val="null3"/>
            </w:pPr>
            <w:r>
              <w:rPr/>
              <w:t>3、成交供应商实施就业服务至2025年8月31日，经采购人针对就业服务最终验收合格后，且采购人收到成交供应商提供的发票等材料后，达到付款条件起30日内，支付合同总金额的10.00%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本采购包履约保证金为合同金额的2.0%</w:t>
            </w:r>
          </w:p>
          <w:p>
            <w:pPr>
              <w:pStyle w:val="null3"/>
            </w:pPr>
            <w:r>
              <w:rPr/>
              <w:t>说明：成交供应商在签订合同前应向采购人缴纳合同金额2%的履约保证金，该保证金在成交供应商供应的货物全部验收合格、合同约定事项全部履行完毕且无未了事项后，30日内一次性无息退还。履约保证金以支票、汇票、本票或者金融机构、担保机构出具的保函等非现金形式向采购人缴交。</w:t>
            </w:r>
          </w:p>
        </w:tc>
      </w:tr>
      <w:tr>
        <w:tc>
          <w:tcPr>
            <w:tcW w:type="dxa" w:w="2076"/>
          </w:tcPr>
          <w:p>
            <w:pPr>
              <w:pStyle w:val="null3"/>
            </w:pPr>
            <w:r>
              <w:rPr/>
              <w:t>8</w:t>
            </w:r>
          </w:p>
        </w:tc>
        <w:tc>
          <w:tcPr>
            <w:tcW w:type="dxa" w:w="2076"/>
          </w:tcPr>
          <w:p>
            <w:pPr>
              <w:pStyle w:val="null3"/>
            </w:pPr>
            <w:r>
              <w:rPr/>
              <w:t>★</w:t>
            </w:r>
          </w:p>
        </w:tc>
        <w:tc>
          <w:tcPr>
            <w:tcW w:type="dxa" w:w="2076"/>
          </w:tcPr>
          <w:p>
            <w:pPr>
              <w:pStyle w:val="null3"/>
            </w:pPr>
            <w:r>
              <w:rPr/>
              <w:t>其他</w:t>
            </w:r>
          </w:p>
        </w:tc>
        <w:tc>
          <w:tcPr>
            <w:tcW w:type="dxa" w:w="2076"/>
          </w:tcPr>
          <w:p>
            <w:pPr>
              <w:pStyle w:val="null3"/>
            </w:pPr>
            <w:r>
              <w:rPr/>
              <w:t>对《磋商文件》“第三章 采购内容及要求 三、商务条件”中的序号6：合同支付方式的补充：成交供应商、收款单位、购货票证开票单位三者应一致，成交供应商收款账号应为中国人民银行批准的基本账户。</w:t>
            </w:r>
          </w:p>
        </w:tc>
      </w:tr>
    </w:tbl>
    <w:p>
      <w:pPr>
        <w:pStyle w:val="null3"/>
        <w:jc w:val="left"/>
      </w:pPr>
      <w:r>
        <w:rPr/>
        <w:t>其他商务要求：</w:t>
      </w:r>
    </w:p>
    <w:p>
      <w:pPr>
        <w:pStyle w:val="null3"/>
        <w:jc w:val="left"/>
      </w:pPr>
      <w:r>
        <w:rPr>
          <w:rFonts w:ascii="simsun" w:hAnsi="simsun" w:cs="simsun" w:eastAsia="simsun"/>
          <w:sz w:val="24"/>
          <w:b/>
        </w:rPr>
        <w:t>9、</w:t>
      </w:r>
      <w:r>
        <w:rPr>
          <w:rFonts w:ascii="simsun" w:hAnsi="simsun" w:cs="simsun" w:eastAsia="simsun"/>
          <w:sz w:val="24"/>
          <w:b/>
        </w:rPr>
        <w:t>售后服务要求</w:t>
      </w:r>
    </w:p>
    <w:p>
      <w:pPr>
        <w:pStyle w:val="null3"/>
        <w:spacing w:after="165"/>
        <w:jc w:val="both"/>
      </w:pPr>
      <w:r>
        <w:rPr>
          <w:rFonts w:ascii="simsun" w:hAnsi="simsun" w:cs="simsun" w:eastAsia="simsun"/>
          <w:sz w:val="24"/>
          <w:shd w:fill="FFFFFF" w:val="clear"/>
        </w:rPr>
        <w:t>本项目服务期结束时间为2025年8月31日，截止2025年8月31日未就业同学的就业推荐服务延续至2025年12月31日。</w:t>
      </w:r>
    </w:p>
    <w:p>
      <w:pPr>
        <w:pStyle w:val="null3"/>
        <w:spacing w:after="165"/>
        <w:jc w:val="both"/>
      </w:pPr>
      <w:r>
        <w:rPr>
          <w:rFonts w:ascii="simsun" w:hAnsi="simsun" w:cs="simsun" w:eastAsia="simsun"/>
          <w:sz w:val="24"/>
          <w:b/>
        </w:rPr>
        <w:t>10、违约责任</w:t>
      </w:r>
    </w:p>
    <w:p>
      <w:pPr>
        <w:pStyle w:val="null3"/>
        <w:spacing w:before="105" w:after="150"/>
        <w:ind w:right="-180" w:firstLine="480"/>
        <w:jc w:val="left"/>
      </w:pPr>
      <w:r>
        <w:rPr>
          <w:rFonts w:ascii="simsun" w:hAnsi="simsun" w:cs="simsun" w:eastAsia="simsun"/>
          <w:sz w:val="24"/>
        </w:rPr>
        <w:t>10.1合同生效后，成交供应商未经采购人同意单方面终止合同的，成交供应商除了应向采购人赔偿因合同终止导致的损失外，还应向采购人偿付该合同款30%的违约金。</w:t>
      </w:r>
    </w:p>
    <w:p>
      <w:pPr>
        <w:pStyle w:val="null3"/>
        <w:spacing w:before="105" w:after="150"/>
        <w:ind w:right="-180" w:firstLine="480"/>
        <w:jc w:val="left"/>
      </w:pPr>
      <w:r>
        <w:rPr>
          <w:rFonts w:ascii="simsun" w:hAnsi="simsun" w:cs="simsun" w:eastAsia="simsun"/>
          <w:sz w:val="24"/>
        </w:rPr>
        <w:t>10.2合同生效后，若成交供应商违约，采购人有权没收成交供应商支付的合同履约保证金。</w:t>
      </w:r>
    </w:p>
    <w:p>
      <w:pPr>
        <w:pStyle w:val="null3"/>
        <w:spacing w:before="105" w:after="150"/>
        <w:ind w:right="-180" w:firstLine="480"/>
        <w:jc w:val="left"/>
      </w:pPr>
      <w:r>
        <w:rPr>
          <w:rFonts w:ascii="simsun" w:hAnsi="simsun" w:cs="simsun" w:eastAsia="simsun"/>
          <w:sz w:val="24"/>
        </w:rPr>
        <w:t>10.3未按期交货的违约责任</w:t>
      </w:r>
    </w:p>
    <w:p>
      <w:pPr>
        <w:pStyle w:val="null3"/>
        <w:spacing w:before="105" w:after="150"/>
        <w:ind w:right="-180" w:firstLine="480"/>
        <w:jc w:val="left"/>
      </w:pPr>
      <w:r>
        <w:rPr>
          <w:rFonts w:ascii="simsun" w:hAnsi="simsun" w:cs="simsun" w:eastAsia="simsun"/>
          <w:sz w:val="24"/>
        </w:rPr>
        <w:t xml:space="preserve">10.3.1如果成交供应商未能按合同规定的时间按时交货（或提供服务）的（不可抗力除外），且未经采购人同意延长交货（或提供服务）期的，成交供应商需向采购人支付延期交货违约金，延期交货违约金的支付采购人有权从未付的合同货款中扣除。每延误一日，成交供应商应按合同总金额1‰支付给采购人违约金；若成交供应商逾期交货（或提供服务）达30天（含30天）以上的，采购人有权单方解除本合同，成交供应商仍应按上述约定支付延期交货（或提供服务）违约金。若因此给采购人造成损失的，还应赔偿采购人所受的损失。  </w:t>
      </w:r>
    </w:p>
    <w:p>
      <w:pPr>
        <w:pStyle w:val="null3"/>
        <w:spacing w:before="105" w:after="150"/>
        <w:ind w:right="-180" w:firstLine="480"/>
        <w:jc w:val="left"/>
      </w:pPr>
      <w:r>
        <w:rPr>
          <w:rFonts w:ascii="simsun" w:hAnsi="simsun" w:cs="simsun" w:eastAsia="simsun"/>
          <w:sz w:val="24"/>
        </w:rPr>
        <w:t xml:space="preserve">10.3.2若成交供应商不能交货的（或提供服务）（逾期15个工作日视为不能交货（或提供服务），不可抗力除外）或交货不合格从而影响采购人正常使用的，成交供应商应向采购人偿付不能交货（或提供服务）部分货款的30％的违约金。违约金不足以补偿损失的，采购人有权要求成交供应商赔偿损失。  </w:t>
      </w:r>
    </w:p>
    <w:p>
      <w:pPr>
        <w:pStyle w:val="null3"/>
        <w:spacing w:before="105" w:after="150"/>
        <w:ind w:right="-180" w:firstLine="480"/>
        <w:jc w:val="left"/>
      </w:pPr>
      <w:r>
        <w:rPr>
          <w:rFonts w:ascii="simsun" w:hAnsi="simsun" w:cs="simsun" w:eastAsia="simsun"/>
          <w:sz w:val="24"/>
        </w:rPr>
        <w:t>10.4成交供应商如有下列违约行为之一，采购人有权终止合同，成交供应商赔偿采购人的一切损失。</w:t>
      </w:r>
    </w:p>
    <w:p>
      <w:pPr>
        <w:pStyle w:val="null3"/>
        <w:spacing w:before="105" w:after="150"/>
        <w:ind w:right="-180" w:firstLine="480"/>
        <w:jc w:val="left"/>
      </w:pPr>
      <w:r>
        <w:rPr>
          <w:rFonts w:ascii="simsun" w:hAnsi="simsun" w:cs="simsun" w:eastAsia="simsun"/>
          <w:sz w:val="24"/>
        </w:rPr>
        <w:t>10.4.1不能达到《磋商文件》及投标承诺的要求；</w:t>
      </w:r>
    </w:p>
    <w:p>
      <w:pPr>
        <w:pStyle w:val="null3"/>
        <w:spacing w:before="105" w:after="150"/>
        <w:ind w:right="-180" w:firstLine="480"/>
        <w:jc w:val="left"/>
      </w:pPr>
      <w:r>
        <w:rPr>
          <w:rFonts w:ascii="simsun" w:hAnsi="simsun" w:cs="simsun" w:eastAsia="simsun"/>
          <w:sz w:val="24"/>
        </w:rPr>
        <w:t>10.4.2最终验收不合格；</w:t>
      </w:r>
    </w:p>
    <w:p>
      <w:pPr>
        <w:pStyle w:val="null3"/>
        <w:spacing w:before="105" w:after="150"/>
        <w:ind w:right="-180" w:firstLine="480"/>
        <w:jc w:val="left"/>
      </w:pPr>
      <w:r>
        <w:rPr>
          <w:rFonts w:ascii="simsun" w:hAnsi="simsun" w:cs="simsun" w:eastAsia="simsun"/>
          <w:sz w:val="24"/>
        </w:rPr>
        <w:t>10.4.3未经采购人同意将项目转包他人；</w:t>
      </w:r>
    </w:p>
    <w:p>
      <w:pPr>
        <w:pStyle w:val="null3"/>
        <w:spacing w:before="105" w:after="150"/>
        <w:ind w:right="-180" w:firstLine="480"/>
        <w:jc w:val="left"/>
      </w:pPr>
      <w:r>
        <w:rPr>
          <w:rFonts w:ascii="simsun" w:hAnsi="simsun" w:cs="simsun" w:eastAsia="simsun"/>
          <w:sz w:val="24"/>
        </w:rPr>
        <w:t>10.4.4成交供应商违反双方签署合同书的其他主要条款；</w:t>
      </w:r>
    </w:p>
    <w:p>
      <w:pPr>
        <w:pStyle w:val="null3"/>
        <w:spacing w:after="165"/>
        <w:ind w:firstLine="480"/>
        <w:jc w:val="both"/>
      </w:pPr>
      <w:r>
        <w:rPr>
          <w:rFonts w:ascii="simsun" w:hAnsi="simsun" w:cs="simsun" w:eastAsia="simsun"/>
          <w:sz w:val="24"/>
        </w:rPr>
        <w:t>10</w:t>
      </w:r>
      <w:r>
        <w:rPr>
          <w:rFonts w:ascii="simsun" w:hAnsi="simsun" w:cs="simsun" w:eastAsia="simsun"/>
          <w:sz w:val="24"/>
        </w:rPr>
        <w:t>.5因</w:t>
      </w:r>
      <w:r>
        <w:rPr>
          <w:rFonts w:ascii="simsun" w:hAnsi="simsun" w:cs="simsun" w:eastAsia="simsun"/>
          <w:sz w:val="24"/>
        </w:rPr>
        <w:t>成交供应商</w:t>
      </w:r>
      <w:r>
        <w:rPr>
          <w:rFonts w:ascii="simsun" w:hAnsi="simsun" w:cs="simsun" w:eastAsia="simsun"/>
          <w:sz w:val="24"/>
        </w:rPr>
        <w:t>违约对采购人造成损失的赔偿金及合同约定的违约金均可由采购人从未支付的合同款或保证金中扣除。</w:t>
      </w:r>
    </w:p>
    <w:p>
      <w:pPr>
        <w:pStyle w:val="null3"/>
        <w:jc w:val="left"/>
        <w:outlineLvl w:val="2"/>
      </w:pPr>
      <w:r>
        <w:rPr>
          <w:sz w:val="28"/>
          <w:b/>
        </w:rPr>
        <w:t>四、其他事项</w:t>
      </w:r>
    </w:p>
    <w:p>
      <w:pPr>
        <w:pStyle w:val="null3"/>
        <w:jc w:val="left"/>
      </w:pPr>
      <w:r>
        <w:rPr/>
        <w:t>1、除采购文件另有规定外，若出现有关法律、法规和规章有强制性规定但采购文件未列明的情形，则供应商应按照有关法律、法规和规章强制性规定执行。 2、本竞争性磋商文件未明确的其它约定事项或条款，待采购人与成交人签订合同时，由双方协商订立。 3、采购人在确认成交结果前，可自行对成交候选供应商提供的资格或符合性或评分项条款中涉及的证明资料（证书、报告等）原件进行复核，成交候选供应商无法提供原件复核的，按提供虚假材料谋取中标或成交的情形处理，该供应商提交的响应文件无效，本项目顺延确定成交候选人或重新招标。 4、凡参与政府采购并依法取得政府采购合同的供应商，均可使用政府采购合同向福建省政府采购网发布的政府采购合同融资业务信息的银行业金融机构申请融资，可在“政采贷”模块进行具体操作。 4.1、企业申请所需提交的材料可登录“福建省政府采购网”查询。 4.2、融资主要条件: ①担保条件:除法定代表人或实际控制人担保外，如融资金额未超过政府采购合同金额的，银行不要求企业供 应商提供财产抵质押或第三方担保，或咐加其他担保条件。 ②专用账户:当银行同意授信后，企业供 应商在该行开立封闭式专用账户，与采购人在合同中或通过签订补充协议约定唯一收款账号。 ③支付约定:银行发放贷款的同时，办理政府采购合同应收账款质押查询和登记，合同履行并验收后，采购人需将采购资金按合同约定支付到约定收款账户。</w:t>
      </w:r>
    </w:p>
    <w:p>
      <w:pPr>
        <w:pStyle w:val="null3"/>
      </w:pPr>
      <w:r>
        <w:rPr/>
        <w:t xml:space="preserve"> </w:t>
        <w:br/>
        <w:br w:type="page"/>
      </w:r>
    </w:p>
    <w:p>
      <w:pPr>
        <w:pStyle w:val="null3"/>
        <w:jc w:val="center"/>
        <w:outlineLvl w:val="1"/>
      </w:pPr>
      <w:r>
        <w:rPr>
          <w:sz w:val="36"/>
          <w:b/>
        </w:rPr>
        <w:t>第四章 合同主要条款及格式</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sz w:val="48"/>
          <w:b/>
        </w:rPr>
        <w:t xml:space="preserve"> 福建省政府采购项目竞争性磋商</w:t>
      </w:r>
    </w:p>
    <w:p>
      <w:pPr>
        <w:pStyle w:val="null3"/>
        <w:jc w:val="center"/>
        <w:outlineLvl w:val="1"/>
      </w:pPr>
      <w:r>
        <w:rPr>
          <w:sz w:val="36"/>
          <w:b/>
        </w:rPr>
        <w:t>响应文件</w:t>
      </w:r>
    </w:p>
    <w:p>
      <w:pPr>
        <w:pStyle w:val="null3"/>
        <w:jc w:val="center"/>
        <w:outlineLvl w:val="1"/>
      </w:pPr>
      <w:r>
        <w:rPr>
          <w:sz w:val="36"/>
          <w:b/>
        </w:rPr>
        <w:t>（首次）</w:t>
      </w:r>
      <w:r>
        <w:br/>
      </w:r>
      <w:r>
        <w:br/>
      </w:r>
      <w:r>
        <w:br/>
      </w:r>
      <w:r>
        <w:br/>
      </w:r>
      <w:r>
        <w:br/>
      </w:r>
    </w:p>
    <w:p>
      <w:pPr>
        <w:pStyle w:val="null3"/>
        <w:jc w:val="center"/>
        <w:outlineLvl w:val="2"/>
      </w:pPr>
      <w:r>
        <w:rPr>
          <w:sz w:val="28"/>
          <w:b/>
        </w:rPr>
        <w:t>项目名称：</w:t>
      </w:r>
      <w:r>
        <w:rPr>
          <w:sz w:val="28"/>
          <w:b/>
          <w:u w:val="single"/>
        </w:rPr>
        <w:t xml:space="preserve">                                  </w:t>
      </w:r>
    </w:p>
    <w:p>
      <w:pPr>
        <w:pStyle w:val="null3"/>
        <w:jc w:val="center"/>
        <w:outlineLvl w:val="2"/>
      </w:pPr>
      <w:r>
        <w:rPr>
          <w:sz w:val="28"/>
          <w:b/>
        </w:rPr>
        <w:t>项目编号：</w:t>
      </w:r>
      <w:r>
        <w:rPr>
          <w:sz w:val="28"/>
          <w:b/>
          <w:u w:val="single"/>
        </w:rPr>
        <w:t xml:space="preserve">                                  </w:t>
      </w:r>
    </w:p>
    <w:p>
      <w:pPr>
        <w:pStyle w:val="null3"/>
        <w:jc w:val="center"/>
        <w:outlineLvl w:val="2"/>
      </w:pPr>
      <w:r>
        <w:rPr>
          <w:sz w:val="28"/>
          <w:b/>
        </w:rPr>
        <w:t>采购包：</w:t>
      </w:r>
      <w:r>
        <w:rPr>
          <w:sz w:val="28"/>
          <w:b/>
          <w:u w:val="single"/>
        </w:rPr>
        <w:t xml:space="preserve">                                  </w:t>
      </w:r>
      <w:r>
        <w:br/>
      </w:r>
      <w:r>
        <w:br/>
      </w:r>
    </w:p>
    <w:p>
      <w:pPr>
        <w:pStyle w:val="null3"/>
        <w:jc w:val="center"/>
        <w:outlineLvl w:val="2"/>
      </w:pPr>
      <w:r>
        <w:rPr>
          <w:sz w:val="28"/>
          <w:b/>
        </w:rPr>
        <w:t>供应商名称：</w:t>
      </w:r>
      <w:r>
        <w:rPr>
          <w:sz w:val="28"/>
          <w:b/>
          <w:u w:val="single"/>
        </w:rPr>
        <w:t xml:space="preserve">                                  </w:t>
      </w:r>
    </w:p>
    <w:p>
      <w:pPr>
        <w:pStyle w:val="null3"/>
        <w:jc w:val="center"/>
        <w:outlineLvl w:val="2"/>
      </w:pPr>
      <w:r>
        <w:rPr>
          <w:sz w:val="28"/>
          <w:b/>
        </w:rPr>
        <w:t>日        期：</w:t>
      </w:r>
      <w:r>
        <w:rPr>
          <w:sz w:val="28"/>
          <w:b/>
          <w:u w:val="single"/>
        </w:rPr>
        <w:t xml:space="preserve">                                  </w:t>
      </w:r>
    </w:p>
    <w:p>
      <w:pPr>
        <w:pStyle w:val="null3"/>
      </w:pPr>
      <w:r>
        <w:rPr/>
        <w:t xml:space="preserve"> </w:t>
        <w:br/>
        <w:br w:type="page"/>
      </w:r>
    </w:p>
    <w:p>
      <w:pPr>
        <w:pStyle w:val="null3"/>
        <w:jc w:val="center"/>
        <w:outlineLvl w:val="2"/>
      </w:pPr>
      <w:r>
        <w:rPr>
          <w:sz w:val="28"/>
          <w:b/>
        </w:rPr>
        <w:t>目 录</w:t>
      </w:r>
    </w:p>
    <w:p>
      <w:pPr>
        <w:pStyle w:val="null3"/>
        <w:ind w:firstLine="480"/>
        <w:jc w:val="left"/>
      </w:pPr>
      <w:r>
        <w:rPr/>
        <w:t>附件1：响应函</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[350501]QZJL[CS]2024003</w:t>
      </w:r>
    </w:p>
    <w:p>
      <w:pPr>
        <w:pStyle w:val="null3"/>
        <w:jc w:val="left"/>
      </w:pPr>
      <w:r>
        <w:rPr/>
        <w:t>项目名称：</w:t>
      </w:r>
      <w:r>
        <w:rPr/>
        <w:t>泉州师范学院2024年2021级软件工程专业实训实习服务</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报价内容</w:t>
            </w:r>
          </w:p>
        </w:tc>
        <w:tc>
          <w:tcPr>
            <w:tcW w:type="dxa" w:w="1384"/>
          </w:tcPr>
          <w:p>
            <w:pPr>
              <w:pStyle w:val="null3"/>
              <w:jc w:val="left"/>
            </w:pPr>
            <w:r>
              <w:rPr/>
              <w:t xml:space="preserve"> 计量单位</w:t>
            </w:r>
          </w:p>
        </w:tc>
        <w:tc>
          <w:tcPr>
            <w:tcW w:type="dxa" w:w="1384"/>
          </w:tcPr>
          <w:p>
            <w:pPr>
              <w:pStyle w:val="null3"/>
              <w:jc w:val="left"/>
            </w:pPr>
            <w:r>
              <w:rPr/>
              <w:t xml:space="preserve"> 最高限价</w:t>
            </w:r>
          </w:p>
        </w:tc>
        <w:tc>
          <w:tcPr>
            <w:tcW w:type="dxa" w:w="1384"/>
          </w:tcPr>
          <w:p>
            <w:pPr>
              <w:pStyle w:val="null3"/>
              <w:jc w:val="left"/>
            </w:pPr>
            <w:r>
              <w:rPr/>
              <w:t xml:space="preserve"> 响应报价</w:t>
            </w:r>
          </w:p>
        </w:tc>
        <w:tc>
          <w:tcPr>
            <w:tcW w:type="dxa" w:w="1384"/>
          </w:tcPr>
          <w:p>
            <w:pPr>
              <w:pStyle w:val="null3"/>
              <w:jc w:val="left"/>
            </w:pPr>
            <w:r>
              <w:rPr/>
              <w:t xml:space="preserve"> 价款形式</w:t>
            </w:r>
          </w:p>
        </w:tc>
      </w:tr>
      <w:tr>
        <w:tc>
          <w:tcPr>
            <w:tcW w:type="dxa" w:w="1384"/>
          </w:tcPr>
          <w:p>
            <w:pPr>
              <w:pStyle w:val="null3"/>
              <w:jc w:val="left"/>
            </w:pPr>
            <w:r>
              <w:rPr/>
              <w:t xml:space="preserve"> 1</w:t>
            </w:r>
          </w:p>
        </w:tc>
        <w:tc>
          <w:tcPr>
            <w:tcW w:type="dxa" w:w="1384"/>
          </w:tcPr>
          <w:p>
            <w:pPr>
              <w:pStyle w:val="null3"/>
              <w:jc w:val="left"/>
            </w:pPr>
            <w:r>
              <w:rPr/>
              <w:t xml:space="preserve"> 2021级软件工程专业实训实习服务</w:t>
            </w:r>
          </w:p>
        </w:tc>
        <w:tc>
          <w:tcPr>
            <w:tcW w:type="dxa" w:w="1384"/>
          </w:tcPr>
          <w:p>
            <w:pPr>
              <w:pStyle w:val="null3"/>
              <w:jc w:val="left"/>
            </w:pPr>
            <w:r>
              <w:rPr/>
              <w:t xml:space="preserve"> 项</w:t>
            </w:r>
          </w:p>
        </w:tc>
        <w:tc>
          <w:tcPr>
            <w:tcW w:type="dxa" w:w="1384"/>
          </w:tcPr>
          <w:p>
            <w:pPr>
              <w:pStyle w:val="null3"/>
              <w:jc w:val="left"/>
            </w:pPr>
            <w:r>
              <w:rPr/>
              <w:t xml:space="preserve"> 958300.00 </w:t>
            </w:r>
            <w:r>
              <w:rPr/>
              <w:t xml:space="preserve"> 元</w:t>
            </w:r>
          </w:p>
        </w:tc>
        <w:tc>
          <w:tcPr>
            <w:tcW w:type="dxa" w:w="1384"/>
          </w:tcPr>
          <w:p>
            <w:pPr>
              <w:pStyle w:val="null3"/>
              <w:jc w:val="left"/>
            </w:pPr>
            <w:r>
              <w:rPr/>
              <w:t xml:space="preserve"> 「汇总引用」 </w:t>
            </w:r>
            <w:r>
              <w:rPr/>
              <w:t xml:space="preserve"> 元</w:t>
            </w:r>
          </w:p>
        </w:tc>
        <w:tc>
          <w:tcPr>
            <w:tcW w:type="dxa" w:w="1384"/>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[350501]QZJL[CS]2024003</w:t>
      </w:r>
    </w:p>
    <w:p>
      <w:pPr>
        <w:pStyle w:val="null3"/>
        <w:jc w:val="left"/>
      </w:pPr>
      <w:r>
        <w:rPr/>
        <w:t>项目名称：</w:t>
      </w:r>
      <w:r>
        <w:rPr/>
        <w:t>泉州师范学院2024年2021级软件工程专业实训实习服务</w:t>
      </w:r>
    </w:p>
    <w:p>
      <w:pPr>
        <w:pStyle w:val="null3"/>
        <w:jc w:val="left"/>
      </w:pPr>
      <w:r>
        <w:rPr/>
        <w:t xml:space="preserve"> 2021级软件工程专业实训实习服务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2021级软件工程专业实训实习服务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958300.00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center"/>
        <w:outlineLvl w:val="2"/>
      </w:pPr>
      <w:r>
        <w:rPr>
          <w:sz w:val="28"/>
          <w:b/>
        </w:rPr>
        <w:t>附件3 资格证明文件</w:t>
      </w:r>
    </w:p>
    <w:p>
      <w:pPr>
        <w:pStyle w:val="null3"/>
        <w:jc w:val="center"/>
        <w:outlineLvl w:val="3"/>
      </w:pPr>
      <w:r>
        <w:rPr>
          <w:sz w:val="24"/>
          <w:b/>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sz w:val="24"/>
          <w:b/>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附件3-8 具备履行合同所必需设备和专业技术能力证明材料</w:t>
      </w:r>
    </w:p>
    <w:p>
      <w:pPr>
        <w:pStyle w:val="null3"/>
        <w:jc w:val="center"/>
        <w:outlineLvl w:val="3"/>
      </w:pPr>
      <w:r>
        <w:rPr>
          <w:sz w:val="24"/>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附件3-10 联合体协议</w:t>
      </w:r>
    </w:p>
    <w:p>
      <w:pPr>
        <w:pStyle w:val="null3"/>
        <w:jc w:val="center"/>
        <w:outlineLvl w:val="3"/>
      </w:pPr>
      <w:r>
        <w:rPr>
          <w:sz w:val="24"/>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sz w:val="24"/>
          <w:b/>
        </w:rPr>
        <w:t>附件3-13 其它资格证明文件</w:t>
      </w:r>
    </w:p>
    <w:p>
      <w:pPr>
        <w:pStyle w:val="null3"/>
        <w:jc w:val="center"/>
        <w:outlineLvl w:val="3"/>
      </w:pPr>
      <w:r>
        <w:rPr>
          <w:sz w:val="24"/>
          <w:b/>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附件4 磋商保证金凭证</w:t>
      </w:r>
    </w:p>
    <w:p>
      <w:pPr>
        <w:pStyle w:val="null3"/>
        <w:jc w:val="center"/>
        <w:outlineLvl w:val="3"/>
      </w:pPr>
      <w:r>
        <w:rPr>
          <w:sz w:val="24"/>
          <w:b/>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sz w:val="28"/>
          <w:b/>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sz w:val="24"/>
          <w:b/>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3"/>
      </w:pPr>
      <w:r>
        <w:rPr>
          <w:sz w:val="24"/>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sz w:val="24"/>
          <w:b/>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sz w:val="24"/>
          <w:b/>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 xml:space="preserve"> 附件7-2 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