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附件1</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福建省社科基金</w:t>
      </w:r>
      <w:r>
        <w:rPr>
          <w:rFonts w:hint="eastAsia" w:ascii="方正小标宋_GBK" w:hAnsi="方正小标宋_GBK" w:eastAsia="方正小标宋_GBK" w:cs="方正小标宋_GBK"/>
          <w:sz w:val="44"/>
          <w:szCs w:val="44"/>
          <w:lang w:val="en-US" w:eastAsia="zh-CN"/>
        </w:rPr>
        <w:t>2022年度</w:t>
      </w:r>
      <w:r>
        <w:rPr>
          <w:rFonts w:hint="eastAsia" w:ascii="方正小标宋_GBK" w:hAnsi="方正小标宋_GBK" w:eastAsia="方正小标宋_GBK" w:cs="方正小标宋_GBK"/>
          <w:sz w:val="44"/>
          <w:szCs w:val="44"/>
        </w:rPr>
        <w:t>省人大</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理论研究</w:t>
      </w:r>
      <w:r>
        <w:rPr>
          <w:rFonts w:hint="eastAsia" w:ascii="方正小标宋_GBK" w:hAnsi="方正小标宋_GBK" w:eastAsia="方正小标宋_GBK" w:cs="方正小标宋_GBK"/>
          <w:sz w:val="44"/>
          <w:szCs w:val="44"/>
          <w:lang w:eastAsia="zh-CN"/>
        </w:rPr>
        <w:t>项目</w:t>
      </w:r>
      <w:r>
        <w:rPr>
          <w:rFonts w:hint="eastAsia" w:ascii="方正小标宋_GBK" w:hAnsi="方正小标宋_GBK" w:eastAsia="方正小标宋_GBK" w:cs="方正小标宋_GBK"/>
          <w:sz w:val="44"/>
          <w:szCs w:val="44"/>
        </w:rPr>
        <w:t>目录及说明</w:t>
      </w:r>
    </w:p>
    <w:p>
      <w:pPr>
        <w:pStyle w:val="2"/>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一、习近平总书记关于坚持和完善人民代表大会制度的重要思想在福建的孕育和实践研究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二、发展全过程人民民主与完善人民代表大会制度研究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三、福建省地方性法规行政处罚条款执法现状及问题研究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四、地方生态环境保护立法空间研究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五、道路交通管理相关法律问题研究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六、备案审查在地方治理中的地位和作用研究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七、新形势下落实在闽台胞同等待遇问题研究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八、《福建省食品安全条例》立法后评估</w:t>
      </w:r>
    </w:p>
    <w:p>
      <w:pPr>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黑体" w:hAnsi="黑体" w:eastAsia="黑体" w:cs="黑体"/>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黑体" w:hAnsi="黑体" w:eastAsia="黑体" w:cs="黑体"/>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黑体" w:hAnsi="黑体" w:eastAsia="黑体" w:cs="黑体"/>
          <w:sz w:val="32"/>
          <w:szCs w:val="32"/>
          <w:lang w:val="en-US" w:eastAsia="zh-CN"/>
        </w:rPr>
        <w:sectPr>
          <w:footerReference r:id="rId4" w:type="first"/>
          <w:footerReference r:id="rId3" w:type="default"/>
          <w:pgSz w:w="11906" w:h="16838"/>
          <w:pgMar w:top="2098" w:right="1531" w:bottom="2098" w:left="1531" w:header="851" w:footer="1701" w:gutter="0"/>
          <w:pgBorders>
            <w:top w:val="none" w:sz="0" w:space="0"/>
            <w:left w:val="none" w:sz="0" w:space="0"/>
            <w:bottom w:val="none" w:sz="0" w:space="0"/>
            <w:right w:val="none" w:sz="0" w:space="0"/>
          </w:pgBorders>
          <w:pgNumType w:fmt="decimal"/>
          <w:cols w:space="720" w:num="1"/>
          <w:titlePg/>
          <w:rtlGutter w:val="0"/>
          <w:docGrid w:type="lines" w:linePitch="435" w:charSpace="0"/>
        </w:sect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黑体" w:hAnsi="黑体" w:eastAsia="黑体" w:cs="黑体"/>
          <w:b w:val="0"/>
          <w:i w:val="0"/>
          <w:caps w:val="0"/>
          <w:color w:val="000000"/>
          <w:spacing w:val="0"/>
          <w:sz w:val="32"/>
          <w:szCs w:val="32"/>
          <w:shd w:val="clear" w:color="auto" w:fill="FFFFFF"/>
          <w:lang w:val="en-US" w:eastAsia="zh-CN"/>
        </w:rPr>
      </w:pPr>
      <w:r>
        <w:rPr>
          <w:rFonts w:hint="eastAsia" w:ascii="黑体" w:hAnsi="黑体" w:eastAsia="黑体" w:cs="黑体"/>
          <w:b w:val="0"/>
          <w:i w:val="0"/>
          <w:caps w:val="0"/>
          <w:color w:val="000000"/>
          <w:spacing w:val="0"/>
          <w:sz w:val="32"/>
          <w:szCs w:val="32"/>
          <w:shd w:val="clear" w:color="auto" w:fill="FFFFFF"/>
          <w:lang w:val="en-US" w:eastAsia="zh-CN"/>
        </w:rPr>
        <w:t>2022年度</w:t>
      </w:r>
      <w:r>
        <w:rPr>
          <w:rFonts w:hint="eastAsia" w:ascii="黑体" w:hAnsi="黑体" w:eastAsia="黑体" w:cs="黑体"/>
          <w:b w:val="0"/>
          <w:i w:val="0"/>
          <w:caps w:val="0"/>
          <w:color w:val="000000"/>
          <w:spacing w:val="0"/>
          <w:sz w:val="32"/>
          <w:szCs w:val="32"/>
          <w:shd w:val="clear" w:color="auto" w:fill="FFFFFF"/>
          <w:lang w:eastAsia="zh-CN"/>
        </w:rPr>
        <w:t>福建省人大理论研究项目</w:t>
      </w:r>
      <w:r>
        <w:rPr>
          <w:rFonts w:hint="eastAsia" w:ascii="黑体" w:hAnsi="黑体" w:eastAsia="黑体" w:cs="黑体"/>
          <w:b w:val="0"/>
          <w:i w:val="0"/>
          <w:caps w:val="0"/>
          <w:color w:val="000000"/>
          <w:spacing w:val="0"/>
          <w:sz w:val="32"/>
          <w:szCs w:val="32"/>
          <w:shd w:val="clear" w:color="auto" w:fill="FFFFFF"/>
          <w:lang w:val="en-US" w:eastAsia="zh-CN"/>
        </w:rPr>
        <w:t>（一）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黑体" w:hAnsi="黑体" w:eastAsia="黑体" w:cs="黑体"/>
          <w:b w:val="0"/>
          <w:i w:val="0"/>
          <w:caps w:val="0"/>
          <w:color w:val="000000"/>
          <w:spacing w:val="0"/>
          <w:sz w:val="32"/>
          <w:szCs w:val="32"/>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b w:val="0"/>
          <w:i w:val="0"/>
          <w:caps w:val="0"/>
          <w:color w:val="000000"/>
          <w:spacing w:val="0"/>
          <w:sz w:val="36"/>
          <w:szCs w:val="36"/>
          <w:shd w:val="clear" w:color="auto" w:fill="FFFFFF"/>
          <w:lang w:val="en-US" w:eastAsia="zh-CN"/>
        </w:rPr>
      </w:pPr>
      <w:r>
        <w:rPr>
          <w:rFonts w:hint="eastAsia" w:ascii="方正小标宋_GBK" w:hAnsi="方正小标宋_GBK" w:eastAsia="方正小标宋_GBK" w:cs="方正小标宋_GBK"/>
          <w:b w:val="0"/>
          <w:i w:val="0"/>
          <w:caps w:val="0"/>
          <w:color w:val="000000"/>
          <w:spacing w:val="0"/>
          <w:sz w:val="36"/>
          <w:szCs w:val="36"/>
          <w:shd w:val="clear" w:color="auto" w:fill="FFFFFF"/>
          <w:lang w:val="en-US" w:eastAsia="zh-CN"/>
        </w:rPr>
        <w:t>习近平总书记关于坚持和完善人民代表大会制度的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_GBK" w:hAnsi="方正小标宋_GBK" w:eastAsia="方正小标宋_GBK" w:cs="方正小标宋_GBK"/>
          <w:b w:val="0"/>
          <w:i w:val="0"/>
          <w:caps w:val="0"/>
          <w:color w:val="000000"/>
          <w:spacing w:val="0"/>
          <w:sz w:val="36"/>
          <w:szCs w:val="36"/>
          <w:shd w:val="clear" w:color="auto" w:fill="FFFFFF"/>
          <w:lang w:val="en-US" w:eastAsia="zh-CN"/>
        </w:rPr>
      </w:pPr>
      <w:r>
        <w:rPr>
          <w:rFonts w:hint="eastAsia" w:ascii="方正小标宋_GBK" w:hAnsi="方正小标宋_GBK" w:eastAsia="方正小标宋_GBK" w:cs="方正小标宋_GBK"/>
          <w:b w:val="0"/>
          <w:i w:val="0"/>
          <w:caps w:val="0"/>
          <w:color w:val="000000"/>
          <w:spacing w:val="0"/>
          <w:sz w:val="36"/>
          <w:szCs w:val="36"/>
          <w:shd w:val="clear" w:color="auto" w:fill="FFFFFF"/>
          <w:lang w:val="en-US" w:eastAsia="zh-CN"/>
        </w:rPr>
        <w:t>重要思想在福建的孕育和实践研究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黑体" w:hAnsi="黑体" w:eastAsia="黑体" w:cs="黑体"/>
          <w:b w:val="0"/>
          <w:i w:val="0"/>
          <w:caps w:val="0"/>
          <w:color w:val="000000"/>
          <w:spacing w:val="0"/>
          <w:sz w:val="32"/>
          <w:szCs w:val="32"/>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课题说明】习近平总书记关于坚持和完善人民代表大会制度的重要思想，是习近平新时代中国特色社会主义思想的重要组成部分，科学阐述了国家根本政治制度的历史必然、特点优势、实践要求，回答了新时代坚持好完善好人民代表大会制度的重大课题。将这一重要思想学习好、研究好、宣传好、贯彻好，是做好新时代人大工作的根本保证。福建是习近平总书记工作过十七年半的地方，是习近平新时代中国特色社会主义思想的重要孕育地和实践地，习近平总书记在闽工作期间对人大制度和人大工作有许多创新理念和探索实践，是我省宝贵思想财富和独特资源优势。做好习近平总书记关于坚持和完善人民代表大会制度的重要思想在福建的孕育和实践研究，对于从源头上把握这一重要思想，进一步指导做好新时代地方人大工作意义重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【主要研究内容】</w:t>
      </w:r>
      <w:r>
        <w:rPr>
          <w:rFonts w:hint="eastAsia" w:ascii="仿宋_GB2312" w:hAnsi="仿宋_GB2312" w:eastAsia="仿宋_GB2312" w:cs="仿宋_GB2312"/>
          <w:sz w:val="32"/>
          <w:szCs w:val="32"/>
          <w:lang w:val="en-US" w:eastAsia="zh-CN"/>
        </w:rPr>
        <w:t>（包含且不限于以下内容，可根据研究需要调整）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习近平在福建关于人大工作的重要理念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习近平在福建关于坚持党对人大工作领导的重要理念与探索实践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习近平在福建关于立法工作的重要理念与探索实践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习近平在福建关于监督工作的重要理念与探索实践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习近平在福建关于代表工作的重要理念与探索实践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16"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6"/>
          <w:sz w:val="32"/>
          <w:szCs w:val="32"/>
          <w:shd w:val="clear" w:color="auto" w:fill="FFFFFF"/>
          <w:lang w:val="en-US" w:eastAsia="zh-CN"/>
        </w:rPr>
        <w:t>习近平在福建关于人大工作的探索实践与习近平总书</w:t>
      </w:r>
      <w:r>
        <w:rPr>
          <w:rFonts w:hint="eastAsia" w:ascii="仿宋_GB2312" w:hAnsi="仿宋_GB2312" w:eastAsia="仿宋_GB2312" w:cs="仿宋_GB2312"/>
          <w:b w:val="0"/>
          <w:i w:val="0"/>
          <w:caps w:val="0"/>
          <w:color w:val="000000"/>
          <w:spacing w:val="0"/>
          <w:sz w:val="32"/>
          <w:szCs w:val="32"/>
          <w:shd w:val="clear" w:color="auto" w:fill="FFFFFF"/>
          <w:lang w:val="en-US" w:eastAsia="zh-CN"/>
        </w:rPr>
        <w:t>记关于坚持和完善人民代表大会制度的重要思想之间的历史脉络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传承弘扬习近平总书记在福建关于人大工作的宝贵思想财富，进一步贯彻习近平总书记关于坚持和完善人民代表大会制度的重要思想</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【研究期限】6个月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【经费预算】5万元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黑体" w:hAnsi="黑体" w:eastAsia="黑体" w:cs="黑体"/>
          <w:b w:val="0"/>
          <w:i w:val="0"/>
          <w:caps w:val="0"/>
          <w:color w:val="000000"/>
          <w:spacing w:val="0"/>
          <w:sz w:val="32"/>
          <w:szCs w:val="32"/>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黑体" w:hAnsi="黑体" w:eastAsia="黑体" w:cs="黑体"/>
          <w:b w:val="0"/>
          <w:i w:val="0"/>
          <w:caps w:val="0"/>
          <w:color w:val="000000"/>
          <w:spacing w:val="0"/>
          <w:sz w:val="32"/>
          <w:szCs w:val="32"/>
          <w:shd w:val="clear" w:color="auto" w:fill="FFFFFF"/>
          <w:lang w:val="en-US" w:eastAsia="zh-CN"/>
        </w:rPr>
      </w:pPr>
      <w:r>
        <w:rPr>
          <w:rFonts w:hint="eastAsia" w:ascii="黑体" w:hAnsi="黑体" w:eastAsia="黑体" w:cs="黑体"/>
          <w:b w:val="0"/>
          <w:i w:val="0"/>
          <w:caps w:val="0"/>
          <w:color w:val="000000"/>
          <w:spacing w:val="0"/>
          <w:sz w:val="32"/>
          <w:szCs w:val="32"/>
          <w:shd w:val="clear" w:color="auto" w:fill="FFFFFF"/>
          <w:lang w:val="en-US" w:eastAsia="zh-CN"/>
        </w:rPr>
        <w:br w:type="page"/>
      </w:r>
      <w:r>
        <w:rPr>
          <w:rFonts w:hint="eastAsia" w:ascii="黑体" w:hAnsi="黑体" w:eastAsia="黑体" w:cs="黑体"/>
          <w:b w:val="0"/>
          <w:i w:val="0"/>
          <w:caps w:val="0"/>
          <w:color w:val="000000"/>
          <w:spacing w:val="0"/>
          <w:sz w:val="32"/>
          <w:szCs w:val="32"/>
          <w:shd w:val="clear" w:color="auto" w:fill="FFFFFF"/>
          <w:lang w:val="en-US" w:eastAsia="zh-CN"/>
        </w:rPr>
        <w:t>2022年度</w:t>
      </w:r>
      <w:r>
        <w:rPr>
          <w:rFonts w:hint="eastAsia" w:ascii="黑体" w:hAnsi="黑体" w:eastAsia="黑体" w:cs="黑体"/>
          <w:b w:val="0"/>
          <w:i w:val="0"/>
          <w:caps w:val="0"/>
          <w:color w:val="000000"/>
          <w:spacing w:val="0"/>
          <w:sz w:val="32"/>
          <w:szCs w:val="32"/>
          <w:shd w:val="clear" w:color="auto" w:fill="FFFFFF"/>
          <w:lang w:eastAsia="zh-CN"/>
        </w:rPr>
        <w:t>福建省人大理论研究项目</w:t>
      </w:r>
      <w:r>
        <w:rPr>
          <w:rFonts w:hint="eastAsia" w:ascii="黑体" w:hAnsi="黑体" w:eastAsia="黑体" w:cs="黑体"/>
          <w:b w:val="0"/>
          <w:i w:val="0"/>
          <w:caps w:val="0"/>
          <w:color w:val="000000"/>
          <w:spacing w:val="0"/>
          <w:sz w:val="32"/>
          <w:szCs w:val="32"/>
          <w:shd w:val="clear" w:color="auto" w:fill="FFFFFF"/>
          <w:lang w:val="en-US" w:eastAsia="zh-CN"/>
        </w:rPr>
        <w:t>（二）</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黑体" w:hAnsi="黑体" w:eastAsia="黑体" w:cs="黑体"/>
          <w:b w:val="0"/>
          <w:i w:val="0"/>
          <w:caps w:val="0"/>
          <w:color w:val="000000"/>
          <w:spacing w:val="0"/>
          <w:sz w:val="32"/>
          <w:szCs w:val="32"/>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i w:val="0"/>
          <w:caps w:val="0"/>
          <w:color w:val="000000"/>
          <w:spacing w:val="0"/>
          <w:sz w:val="40"/>
          <w:szCs w:val="40"/>
          <w:shd w:val="clear" w:color="auto" w:fill="FFFFFF"/>
          <w:lang w:val="en-US" w:eastAsia="zh-CN"/>
        </w:rPr>
      </w:pPr>
      <w:r>
        <w:rPr>
          <w:rFonts w:hint="eastAsia" w:ascii="方正小标宋_GBK" w:hAnsi="方正小标宋_GBK" w:eastAsia="方正小标宋_GBK" w:cs="方正小标宋_GBK"/>
          <w:b w:val="0"/>
          <w:i w:val="0"/>
          <w:caps w:val="0"/>
          <w:color w:val="000000"/>
          <w:spacing w:val="0"/>
          <w:sz w:val="40"/>
          <w:szCs w:val="40"/>
          <w:shd w:val="clear" w:color="auto" w:fill="FFFFFF"/>
          <w:lang w:val="en-US" w:eastAsia="zh-CN"/>
        </w:rPr>
        <w:t>发展全过程人民民主与完善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i w:val="0"/>
          <w:caps w:val="0"/>
          <w:color w:val="000000"/>
          <w:spacing w:val="0"/>
          <w:sz w:val="40"/>
          <w:szCs w:val="40"/>
          <w:shd w:val="clear" w:color="auto" w:fill="FFFFFF"/>
          <w:lang w:val="en-US" w:eastAsia="zh-CN"/>
        </w:rPr>
      </w:pPr>
      <w:r>
        <w:rPr>
          <w:rFonts w:hint="eastAsia" w:ascii="方正小标宋_GBK" w:hAnsi="方正小标宋_GBK" w:eastAsia="方正小标宋_GBK" w:cs="方正小标宋_GBK"/>
          <w:b w:val="0"/>
          <w:i w:val="0"/>
          <w:caps w:val="0"/>
          <w:color w:val="000000"/>
          <w:spacing w:val="0"/>
          <w:sz w:val="40"/>
          <w:szCs w:val="40"/>
          <w:shd w:val="clear" w:color="auto" w:fill="FFFFFF"/>
          <w:lang w:val="en-US" w:eastAsia="zh-CN"/>
        </w:rPr>
        <w:t>人民代表大会制度研究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textAlignment w:val="auto"/>
        <w:outlineLvl w:val="9"/>
        <w:rPr>
          <w:rFonts w:hint="eastAsia" w:ascii="黑体" w:hAnsi="黑体" w:eastAsia="黑体" w:cs="黑体"/>
          <w:b w:val="0"/>
          <w:i w:val="0"/>
          <w:caps w:val="0"/>
          <w:color w:val="000000"/>
          <w:spacing w:val="0"/>
          <w:sz w:val="32"/>
          <w:szCs w:val="32"/>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课题说明】全过程人民民主是社会主义民主政治理论创新的重大成果，集中概括了党领导人民发展社会主义民主特别是党的十八大以来民主政治建设的理论和实践成果，深刻阐明了我国人民民主的鲜明特色和显著优势，为新时代发展社会主义民主政治、建设社会主义政治文明提供了指引和遵循，为世界政治文明贡献了中国智慧。人民代表大会制度是实现我国全过程人民民主的重要制度载体，做好发展全过程人民民主与完善人民代表大会制度研究，有利于进一步深刻认识和把握全过程人民民主重大理念，发挥人大在发展全过程人民民主中的重要作用，为发展全过程人民民主提供更加可靠的制度保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【主要研究内容】</w:t>
      </w:r>
      <w:r>
        <w:rPr>
          <w:rFonts w:hint="eastAsia" w:ascii="仿宋_GB2312" w:hAnsi="仿宋_GB2312" w:eastAsia="仿宋_GB2312" w:cs="仿宋_GB2312"/>
          <w:sz w:val="32"/>
          <w:szCs w:val="32"/>
          <w:lang w:val="en-US" w:eastAsia="zh-CN"/>
        </w:rPr>
        <w:t>（包含且不限于以下内容，可根据研究需要调整）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全过程人民民主的主要内涵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人民代表大会制度在实现全过程人民民主中的重要制度载体作用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全过程人民民主在人大工作中的生动体现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16" w:firstLineChars="200"/>
        <w:jc w:val="both"/>
        <w:textAlignment w:val="auto"/>
        <w:outlineLvl w:val="9"/>
        <w:rPr>
          <w:rFonts w:hint="eastAsia" w:ascii="仿宋_GB2312" w:hAnsi="仿宋_GB2312" w:eastAsia="仿宋_GB2312" w:cs="仿宋_GB2312"/>
          <w:b w:val="0"/>
          <w:i w:val="0"/>
          <w:caps w:val="0"/>
          <w:color w:val="000000"/>
          <w:spacing w:val="-6"/>
          <w:sz w:val="32"/>
          <w:szCs w:val="32"/>
          <w:shd w:val="clear" w:color="auto" w:fill="FFFFFF"/>
          <w:lang w:val="en-US" w:eastAsia="zh-CN"/>
        </w:rPr>
      </w:pPr>
      <w:r>
        <w:rPr>
          <w:rFonts w:hint="eastAsia" w:ascii="仿宋_GB2312" w:hAnsi="仿宋_GB2312" w:eastAsia="仿宋_GB2312" w:cs="仿宋_GB2312"/>
          <w:b w:val="0"/>
          <w:i w:val="0"/>
          <w:caps w:val="0"/>
          <w:color w:val="000000"/>
          <w:spacing w:val="-6"/>
          <w:sz w:val="32"/>
          <w:szCs w:val="32"/>
          <w:shd w:val="clear" w:color="auto" w:fill="FFFFFF"/>
          <w:lang w:val="en-US" w:eastAsia="zh-CN"/>
        </w:rPr>
        <w:t>完善人民代表大会制度更好实现全过程人民民主的思考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【研究期限】6个月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000000"/>
          <w:spacing w:val="0"/>
          <w:sz w:val="32"/>
          <w:szCs w:val="32"/>
          <w:shd w:val="clear" w:color="auto" w:fill="FFFFFF"/>
          <w:lang w:val="en-US" w:eastAsia="zh-CN"/>
        </w:rPr>
      </w:pPr>
      <w:r>
        <w:rPr>
          <w:rFonts w:hint="eastAsia" w:ascii="仿宋_GB2312" w:hAnsi="仿宋_GB2312" w:eastAsia="仿宋_GB2312" w:cs="仿宋_GB2312"/>
          <w:b w:val="0"/>
          <w:i w:val="0"/>
          <w:caps w:val="0"/>
          <w:color w:val="000000"/>
          <w:spacing w:val="0"/>
          <w:sz w:val="32"/>
          <w:szCs w:val="32"/>
          <w:shd w:val="clear" w:color="auto" w:fill="FFFFFF"/>
          <w:lang w:val="en-US" w:eastAsia="zh-CN"/>
        </w:rPr>
        <w:t>【经费预算】5万元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黑体" w:hAnsi="黑体" w:eastAsia="黑体" w:cs="黑体"/>
          <w:b w:val="0"/>
          <w:i w:val="0"/>
          <w:caps w:val="0"/>
          <w:color w:val="000000"/>
          <w:spacing w:val="0"/>
          <w:sz w:val="32"/>
          <w:szCs w:val="32"/>
          <w:shd w:val="clear" w:color="auto" w:fill="FFFFFF"/>
          <w:lang w:eastAsia="zh-CN"/>
        </w:rPr>
      </w:pPr>
      <w:r>
        <w:rPr>
          <w:rFonts w:hint="eastAsia" w:ascii="黑体" w:hAnsi="黑体" w:eastAsia="黑体" w:cs="黑体"/>
          <w:b w:val="0"/>
          <w:i w:val="0"/>
          <w:caps w:val="0"/>
          <w:color w:val="000000"/>
          <w:spacing w:val="0"/>
          <w:sz w:val="32"/>
          <w:szCs w:val="32"/>
          <w:shd w:val="clear" w:color="auto" w:fill="FFFFFF"/>
          <w:lang w:val="en-US" w:eastAsia="zh-CN"/>
        </w:rPr>
        <w:t>2022年度</w:t>
      </w:r>
      <w:r>
        <w:rPr>
          <w:rFonts w:hint="eastAsia" w:ascii="黑体" w:hAnsi="黑体" w:eastAsia="黑体" w:cs="黑体"/>
          <w:b w:val="0"/>
          <w:i w:val="0"/>
          <w:caps w:val="0"/>
          <w:color w:val="000000"/>
          <w:spacing w:val="0"/>
          <w:sz w:val="32"/>
          <w:szCs w:val="32"/>
          <w:shd w:val="clear" w:color="auto" w:fill="FFFFFF"/>
          <w:lang w:eastAsia="zh-CN"/>
        </w:rPr>
        <w:t>福建省人大理论研究项目（三）</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福建省地方性法规行政处罚条款</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执法现状及问题研究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课题说明】行政处罚是地方性法规设定法律责任的主要形式，研究分析福建省近十年来省级地方性法规在行政处罚条款设定的合理性、科学性、协调性等，以及行政处罚条款的执法适用现状，对评估地方立法实效具有重要的现实意义。通过实证分析的方法，剖析执法部门对地方立法设定行政处罚的态度，以及如何适用地方性法规的行政处罚条款，适用行政处罚条款的影响因素等问题，以此提出相应的对策建议，进而实现立法与执法的良性互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54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【主要研究内容】（包含且不限于以下内容，可根据研究需要调整）</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福建省省级地方性法规（2011-2021年）行政处罚条款的设定评估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福建省省级地方性法规行政处罚条款执法适用现状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福建省省级地方性法规行政处罚条款执法适用的影响因素</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福建省省级地方性法规行政处罚条款执法适用的存在问题</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有关对策建议（立法、执法等角度）</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【研究期限】6个月</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textAlignment w:val="auto"/>
        <w:rPr>
          <w:rFonts w:hint="eastAsia" w:ascii="方正小标宋简体" w:hAnsi="方正小标宋简体" w:eastAsia="方正小标宋简体" w:cs="方正小标宋简体"/>
          <w:sz w:val="44"/>
          <w:szCs w:val="44"/>
          <w:lang w:val="en-US" w:eastAsia="zh-CN"/>
        </w:rPr>
      </w:pPr>
      <w:r>
        <w:rPr>
          <w:rFonts w:hint="eastAsia" w:ascii="黑体" w:hAnsi="黑体" w:eastAsia="黑体" w:cs="黑体"/>
          <w:b w:val="0"/>
          <w:i w:val="0"/>
          <w:caps w:val="0"/>
          <w:color w:val="000000"/>
          <w:spacing w:val="0"/>
          <w:sz w:val="32"/>
          <w:szCs w:val="32"/>
          <w:shd w:val="clear" w:color="auto" w:fill="FFFFFF"/>
          <w:lang w:val="en-US" w:eastAsia="zh-CN"/>
        </w:rPr>
        <w:t>2022年度</w:t>
      </w:r>
      <w:r>
        <w:rPr>
          <w:rFonts w:hint="eastAsia" w:ascii="黑体" w:hAnsi="黑体" w:eastAsia="黑体" w:cs="黑体"/>
          <w:b w:val="0"/>
          <w:i w:val="0"/>
          <w:caps w:val="0"/>
          <w:color w:val="000000"/>
          <w:spacing w:val="0"/>
          <w:sz w:val="32"/>
          <w:szCs w:val="32"/>
          <w:shd w:val="clear" w:color="auto" w:fill="FFFFFF"/>
          <w:lang w:eastAsia="zh-CN"/>
        </w:rPr>
        <w:t>福建省人大理论研究项目（四）</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地方生态环境保护立法空间研究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课题说明】虽然近年来国家与地方生态环保领域立法成果丰硕，但也存在系统性、协调性不强等问题，国家法律与地方性法规之间的纵向立法空间分配以及生态环保法规之间的横向立法空间分配相对模糊，需要在国家法制统一的前提下完善地方生态环保立法，增强立法的针对性、适用性和可操作性。例如，国家、省、设区的市三级生态环保立法权限分配不清，福建地方立法如何在守住合法性红线基础上挖掘区域特色？福建地方生态环保法规之间的定位和界限如何厘清？同一生态环保法律关系由多部地方性法规来调整和规范，造成法条交叉冗余、功效重复抵消如何处理？以上问题需要专门研究以明晰立法空间和思路，从而提高地方生态环保立法质量和效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【主要研究内容】（包含且不限于以下内容，可根据研究需要调整）</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在与上位法及中央生态环保政策不抵触前提下的地方生态环保立法空间</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以福建省生态环保条例、生态文明建设促进条例与森林条例等生态类法规、大气污染防治条例等污染防治类法规之间的协调衔接为例，研究生态环保横向立法空间及关系</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以福建省现行生态环保法规为对象，分析立法重复、冲突等现象的现状、原因与对策等</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【研究期限】6个月</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80" w:lineRule="exact"/>
        <w:ind w:left="0" w:leftChars="0" w:right="0" w:rightChars="0" w:firstLine="64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left="0" w:leftChars="0" w:right="0" w:rightChars="0" w:firstLine="640"/>
        <w:jc w:val="both"/>
        <w:textAlignment w:val="auto"/>
        <w:outlineLvl w:val="9"/>
        <w:rPr>
          <w:rFonts w:hint="eastAsia" w:ascii="仿宋_GB2312" w:hAnsi="仿宋_GB2312" w:eastAsia="仿宋_GB2312" w:cs="仿宋_GB2312"/>
          <w:sz w:val="32"/>
          <w:szCs w:val="32"/>
        </w:rPr>
      </w:pP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40" w:lineRule="exact"/>
        <w:ind w:right="0" w:rightChars="0"/>
        <w:jc w:val="both"/>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N/>
        <w:bidi w:val="0"/>
        <w:snapToGrid/>
        <w:ind w:right="0" w:rightChars="0"/>
        <w:textAlignment w:val="auto"/>
        <w:rPr>
          <w:rFonts w:hint="eastAsia" w:ascii="黑体" w:hAnsi="黑体" w:eastAsia="黑体" w:cs="黑体"/>
          <w:b w:val="0"/>
          <w:i w:val="0"/>
          <w:caps w:val="0"/>
          <w:color w:val="000000"/>
          <w:spacing w:val="0"/>
          <w:sz w:val="32"/>
          <w:szCs w:val="32"/>
          <w:shd w:val="clear" w:color="auto" w:fill="FFFFFF"/>
          <w:lang w:eastAsia="zh-CN"/>
        </w:rPr>
      </w:pPr>
      <w:r>
        <w:rPr>
          <w:rFonts w:hint="eastAsia" w:ascii="黑体" w:hAnsi="黑体" w:eastAsia="黑体" w:cs="黑体"/>
          <w:b w:val="0"/>
          <w:i w:val="0"/>
          <w:caps w:val="0"/>
          <w:color w:val="000000"/>
          <w:spacing w:val="0"/>
          <w:sz w:val="32"/>
          <w:szCs w:val="32"/>
          <w:shd w:val="clear" w:color="auto" w:fill="FFFFFF"/>
          <w:lang w:val="en-US" w:eastAsia="zh-CN"/>
        </w:rPr>
        <w:t>2022年度</w:t>
      </w:r>
      <w:r>
        <w:rPr>
          <w:rFonts w:hint="eastAsia" w:ascii="黑体" w:hAnsi="黑体" w:eastAsia="黑体" w:cs="黑体"/>
          <w:b w:val="0"/>
          <w:i w:val="0"/>
          <w:caps w:val="0"/>
          <w:color w:val="000000"/>
          <w:spacing w:val="0"/>
          <w:sz w:val="32"/>
          <w:szCs w:val="32"/>
          <w:shd w:val="clear" w:color="auto" w:fill="FFFFFF"/>
          <w:lang w:eastAsia="zh-CN"/>
        </w:rPr>
        <w:t>福建省人大理论研究项目（五）</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sz w:val="40"/>
          <w:szCs w:val="40"/>
          <w:lang w:val="en-US" w:eastAsia="zh-CN"/>
        </w:rPr>
      </w:pPr>
      <w:r>
        <w:rPr>
          <w:rFonts w:hint="eastAsia" w:ascii="方正小标宋_GBK" w:hAnsi="方正小标宋_GBK" w:eastAsia="方正小标宋_GBK" w:cs="方正小标宋_GBK"/>
          <w:sz w:val="40"/>
          <w:szCs w:val="40"/>
          <w:lang w:val="en-US" w:eastAsia="zh-CN"/>
        </w:rPr>
        <w:t>道路交通管理相关法律问题研究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课题说明】交通出行事关千家万户。近年来我国城市的快速发展和交通的不断完善，给人民群众的出行带来了方便，也出现了一些新的难点、堵点、痛点。省第十一次党代会明确提出，实施城市更新行动，加快优化交通畅通等基础设施，构建智慧综合交通。本课题旨在围绕若干当前道路交通管理中普遍关注的问题，通过法理分析、实证研究等手段，更好地厘清各方权力（权利）责任（义务），提出解决方案，为我省更好开展道路交通管理提供支持和帮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【主要研究内容】（包含且不限于以下内容，可根据研究需要调整）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现行电动自行车的认定标准是否合理，需要在哪些方面加以修改完善，超标电动车应当如何规范管理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小区内部道路管理问题研究（法律依据、管理主体、职责权限等）</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现有的交强险支付标准是否合理；《道路交通安全法》第七十六条第一款第二项规定的交强险以外的无过错责任如何社会化</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城市设置人车混行道的合法性，如何科学管理</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临时停车问题研究（城市道路作为临时停车场的设置程序、权限、路段选择、时间控制，临时停车认定标准如何规范等）</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【研究期限】6个月</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20" w:lineRule="exact"/>
        <w:ind w:left="0" w:leftChars="0" w:right="0" w:rightChars="0"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textAlignment w:val="auto"/>
        <w:rPr>
          <w:rFonts w:hint="eastAsia" w:ascii="黑体" w:hAnsi="黑体" w:eastAsia="黑体" w:cs="黑体"/>
          <w:i w:val="0"/>
          <w:iCs w:val="0"/>
          <w:caps w:val="0"/>
          <w:color w:val="000000"/>
          <w:spacing w:val="0"/>
          <w:sz w:val="32"/>
          <w:szCs w:val="32"/>
          <w:shd w:val="clear" w:color="auto" w:fill="FAFAFA"/>
          <w:lang w:eastAsia="zh-CN"/>
        </w:rPr>
      </w:pPr>
      <w:r>
        <w:rPr>
          <w:rFonts w:hint="eastAsia" w:ascii="黑体" w:hAnsi="黑体" w:eastAsia="黑体" w:cs="黑体"/>
          <w:b w:val="0"/>
          <w:i w:val="0"/>
          <w:caps w:val="0"/>
          <w:color w:val="000000"/>
          <w:spacing w:val="0"/>
          <w:sz w:val="32"/>
          <w:szCs w:val="32"/>
          <w:shd w:val="clear" w:color="auto" w:fill="FFFFFF"/>
          <w:lang w:val="en-US" w:eastAsia="zh-CN"/>
        </w:rPr>
        <w:t>2022年度</w:t>
      </w:r>
      <w:r>
        <w:rPr>
          <w:rFonts w:hint="eastAsia" w:ascii="黑体" w:hAnsi="黑体" w:eastAsia="黑体" w:cs="黑体"/>
          <w:b w:val="0"/>
          <w:i w:val="0"/>
          <w:caps w:val="0"/>
          <w:color w:val="000000"/>
          <w:spacing w:val="0"/>
          <w:sz w:val="32"/>
          <w:szCs w:val="32"/>
          <w:shd w:val="clear" w:color="auto" w:fill="FFFFFF"/>
          <w:lang w:eastAsia="zh-CN"/>
        </w:rPr>
        <w:t>福建省人大理论研究项目（六）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hint="eastAsia" w:ascii="宋体" w:hAnsi="宋体" w:eastAsia="宋体" w:cs="宋体"/>
          <w:b w:val="0"/>
          <w:i w:val="0"/>
          <w:caps w:val="0"/>
          <w:color w:val="000000"/>
          <w:spacing w:val="0"/>
          <w:sz w:val="24"/>
          <w:szCs w:val="24"/>
          <w:shd w:val="clear" w:color="auto" w:fill="FFFFFF"/>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i w:val="0"/>
          <w:caps w:val="0"/>
          <w:color w:val="000000"/>
          <w:spacing w:val="0"/>
          <w:sz w:val="40"/>
          <w:szCs w:val="40"/>
          <w:shd w:val="clear" w:color="auto" w:fill="FFFFFF"/>
          <w:lang w:eastAsia="zh-CN"/>
        </w:rPr>
      </w:pPr>
      <w:r>
        <w:rPr>
          <w:rFonts w:hint="eastAsia" w:ascii="方正小标宋_GBK" w:hAnsi="方正小标宋_GBK" w:eastAsia="方正小标宋_GBK" w:cs="方正小标宋_GBK"/>
          <w:b w:val="0"/>
          <w:i w:val="0"/>
          <w:caps w:val="0"/>
          <w:color w:val="000000"/>
          <w:spacing w:val="0"/>
          <w:sz w:val="40"/>
          <w:szCs w:val="40"/>
          <w:shd w:val="clear" w:color="auto" w:fill="FFFFFF"/>
          <w:lang w:eastAsia="zh-CN"/>
        </w:rPr>
        <w:t>备案审查在地方治理中的地位和作用研究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textAlignment w:val="auto"/>
        <w:outlineLvl w:val="9"/>
        <w:rPr>
          <w:rFonts w:hint="eastAsia" w:ascii="宋体" w:hAnsi="宋体" w:eastAsia="宋体" w:cs="宋体"/>
          <w:b w:val="0"/>
          <w:i w:val="0"/>
          <w:caps w:val="0"/>
          <w:color w:val="000000"/>
          <w:spacing w:val="0"/>
          <w:sz w:val="24"/>
          <w:szCs w:val="24"/>
          <w:shd w:val="clear" w:color="auto" w:fill="FFFFFF"/>
          <w:lang w:eastAsia="zh-CN"/>
        </w:rPr>
      </w:pPr>
    </w:p>
    <w:p>
      <w:pPr>
        <w:keepNext w:val="0"/>
        <w:keepLines w:val="0"/>
        <w:pageBreakBefore w:val="0"/>
        <w:widowControl w:val="0"/>
        <w:kinsoku/>
        <w:wordWrap/>
        <w:overflowPunct/>
        <w:topLinePunct w:val="0"/>
        <w:autoSpaceDN/>
        <w:bidi w:val="0"/>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auto"/>
          <w:spacing w:val="0"/>
          <w:kern w:val="2"/>
          <w:sz w:val="32"/>
          <w:szCs w:val="32"/>
          <w:shd w:val="clear" w:color="auto" w:fill="FFFFFF"/>
          <w:lang w:val="en-US" w:eastAsia="zh-CN" w:bidi="ar-SA"/>
        </w:rPr>
      </w:pPr>
      <w:r>
        <w:rPr>
          <w:rFonts w:hint="eastAsia" w:ascii="仿宋_GB2312" w:hAnsi="仿宋_GB2312" w:eastAsia="仿宋_GB2312" w:cs="仿宋_GB2312"/>
          <w:b w:val="0"/>
          <w:i w:val="0"/>
          <w:caps w:val="0"/>
          <w:color w:val="auto"/>
          <w:spacing w:val="0"/>
          <w:sz w:val="32"/>
          <w:szCs w:val="32"/>
          <w:shd w:val="clear" w:color="auto" w:fill="FFFFFF"/>
          <w:lang w:eastAsia="zh-CN"/>
        </w:rPr>
        <w:t>【课题说明】</w:t>
      </w:r>
      <w:r>
        <w:rPr>
          <w:rFonts w:hint="eastAsia" w:ascii="仿宋_GB2312" w:hAnsi="仿宋_GB2312" w:eastAsia="仿宋_GB2312" w:cs="仿宋_GB2312"/>
          <w:b w:val="0"/>
          <w:i w:val="0"/>
          <w:caps w:val="0"/>
          <w:color w:val="auto"/>
          <w:spacing w:val="0"/>
          <w:kern w:val="2"/>
          <w:sz w:val="32"/>
          <w:szCs w:val="32"/>
          <w:shd w:val="clear" w:color="auto" w:fill="FFFFFF"/>
          <w:lang w:val="en-US" w:eastAsia="zh-CN" w:bidi="ar-SA"/>
        </w:rPr>
        <w:t>备案审查作为国家治理体系现代化内容之一的重要宪法性制度，其构建与完善是国家监督权实施与优化的外在表现形式。近年来，我省各级人大常委会备案审查制度建设硕果累累，能力建设成绩斐然，但在地方治理中的地位不明显，促进治理现代化的作用发挥不够充分。进一步做好做实备案审查，更好服务于新时代新福建建设，就必须将其置于整个地方治理框架中，明确备案审查的功能定位，加强理论研究，优化制度设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2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auto"/>
          <w:spacing w:val="0"/>
          <w:sz w:val="32"/>
          <w:szCs w:val="32"/>
          <w:shd w:val="clear" w:color="auto" w:fill="FFFFFF"/>
          <w:lang w:eastAsia="zh-CN"/>
        </w:rPr>
        <w:t>【主要研究内容】</w:t>
      </w:r>
      <w:r>
        <w:rPr>
          <w:rFonts w:hint="eastAsia" w:ascii="仿宋_GB2312" w:hAnsi="仿宋_GB2312" w:eastAsia="仿宋_GB2312" w:cs="仿宋_GB2312"/>
          <w:sz w:val="32"/>
          <w:szCs w:val="32"/>
          <w:lang w:val="en-US" w:eastAsia="zh-CN"/>
        </w:rPr>
        <w:t>（包含且不限于以下内容，可根据研究需要调整）</w:t>
      </w:r>
    </w:p>
    <w:p>
      <w:pPr>
        <w:keepNext w:val="0"/>
        <w:keepLines w:val="0"/>
        <w:pageBreakBefore w:val="0"/>
        <w:widowControl w:val="0"/>
        <w:kinsoku/>
        <w:wordWrap/>
        <w:overflowPunct/>
        <w:topLinePunct w:val="0"/>
        <w:autoSpaceDN/>
        <w:bidi w:val="0"/>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auto"/>
          <w:spacing w:val="0"/>
          <w:sz w:val="32"/>
          <w:szCs w:val="32"/>
          <w:shd w:val="clear" w:color="auto" w:fill="FFFFFF"/>
          <w:lang w:eastAsia="zh-CN"/>
        </w:rPr>
      </w:pPr>
      <w:r>
        <w:rPr>
          <w:rFonts w:hint="eastAsia" w:ascii="仿宋_GB2312" w:hAnsi="仿宋_GB2312" w:eastAsia="仿宋_GB2312" w:cs="仿宋_GB2312"/>
          <w:b w:val="0"/>
          <w:i w:val="0"/>
          <w:caps w:val="0"/>
          <w:color w:val="auto"/>
          <w:spacing w:val="0"/>
          <w:sz w:val="32"/>
          <w:szCs w:val="32"/>
          <w:shd w:val="clear" w:color="auto" w:fill="FFFFFF"/>
          <w:lang w:eastAsia="zh-CN"/>
        </w:rPr>
        <w:t>备案审查在地方治理</w:t>
      </w:r>
      <w:r>
        <w:rPr>
          <w:rFonts w:hint="eastAsia" w:ascii="仿宋_GB2312" w:hAnsi="仿宋_GB2312" w:eastAsia="仿宋_GB2312" w:cs="仿宋_GB2312"/>
          <w:b w:val="0"/>
          <w:i w:val="0"/>
          <w:caps w:val="0"/>
          <w:color w:val="auto"/>
          <w:spacing w:val="0"/>
          <w:kern w:val="2"/>
          <w:sz w:val="32"/>
          <w:szCs w:val="32"/>
          <w:shd w:val="clear" w:color="auto" w:fill="FFFFFF"/>
          <w:lang w:val="en-US" w:eastAsia="zh-CN" w:bidi="ar-SA"/>
        </w:rPr>
        <w:t>中应有地位和应起作用分析</w:t>
      </w:r>
      <w:r>
        <w:rPr>
          <w:rFonts w:hint="eastAsia" w:ascii="仿宋_GB2312" w:hAnsi="仿宋_GB2312" w:eastAsia="仿宋_GB2312" w:cs="仿宋_GB2312"/>
          <w:b w:val="0"/>
          <w:i w:val="0"/>
          <w:caps w:val="0"/>
          <w:color w:val="auto"/>
          <w:spacing w:val="0"/>
          <w:sz w:val="32"/>
          <w:szCs w:val="32"/>
          <w:shd w:val="clear" w:color="auto" w:fill="FFFFFF"/>
          <w:lang w:eastAsia="zh-CN"/>
        </w:rPr>
        <w:t>（从政治学、法学等角度）</w:t>
      </w:r>
    </w:p>
    <w:p>
      <w:pPr>
        <w:keepNext w:val="0"/>
        <w:keepLines w:val="0"/>
        <w:pageBreakBefore w:val="0"/>
        <w:widowControl w:val="0"/>
        <w:kinsoku/>
        <w:wordWrap/>
        <w:overflowPunct/>
        <w:topLinePunct w:val="0"/>
        <w:autoSpaceDN/>
        <w:bidi w:val="0"/>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auto"/>
          <w:spacing w:val="0"/>
          <w:sz w:val="32"/>
          <w:szCs w:val="32"/>
          <w:shd w:val="clear" w:color="auto" w:fill="FFFFFF"/>
          <w:lang w:eastAsia="zh-CN"/>
        </w:rPr>
      </w:pPr>
      <w:r>
        <w:rPr>
          <w:rFonts w:hint="eastAsia" w:ascii="仿宋_GB2312" w:hAnsi="仿宋_GB2312" w:eastAsia="仿宋_GB2312" w:cs="仿宋_GB2312"/>
          <w:b w:val="0"/>
          <w:i w:val="0"/>
          <w:caps w:val="0"/>
          <w:color w:val="auto"/>
          <w:spacing w:val="0"/>
          <w:sz w:val="32"/>
          <w:szCs w:val="32"/>
          <w:shd w:val="clear" w:color="auto" w:fill="FFFFFF"/>
          <w:lang w:eastAsia="zh-CN"/>
        </w:rPr>
        <w:t>我省备案审查实践现状调查（从对规章、各类规范性文件的纠正或支持等角度）</w:t>
      </w:r>
    </w:p>
    <w:p>
      <w:pPr>
        <w:keepNext w:val="0"/>
        <w:keepLines w:val="0"/>
        <w:pageBreakBefore w:val="0"/>
        <w:widowControl w:val="0"/>
        <w:kinsoku/>
        <w:wordWrap/>
        <w:overflowPunct/>
        <w:topLinePunct w:val="0"/>
        <w:autoSpaceDN/>
        <w:bidi w:val="0"/>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auto"/>
          <w:spacing w:val="0"/>
          <w:sz w:val="32"/>
          <w:szCs w:val="32"/>
          <w:shd w:val="clear" w:color="auto" w:fill="FFFFFF"/>
          <w:lang w:eastAsia="zh-CN"/>
        </w:rPr>
      </w:pPr>
      <w:r>
        <w:rPr>
          <w:rFonts w:hint="eastAsia" w:ascii="仿宋_GB2312" w:hAnsi="仿宋_GB2312" w:eastAsia="仿宋_GB2312" w:cs="仿宋_GB2312"/>
          <w:b w:val="0"/>
          <w:i w:val="0"/>
          <w:caps w:val="0"/>
          <w:color w:val="auto"/>
          <w:spacing w:val="0"/>
          <w:sz w:val="32"/>
          <w:szCs w:val="32"/>
          <w:shd w:val="clear" w:color="auto" w:fill="FFFFFF"/>
          <w:lang w:eastAsia="zh-CN"/>
        </w:rPr>
        <w:t>备案审查对我省地方治理的影响评估（从促进人大科学立法、促进政府依法行政、促进“两院”公正司法等角度）</w:t>
      </w:r>
    </w:p>
    <w:p>
      <w:pPr>
        <w:keepNext w:val="0"/>
        <w:keepLines w:val="0"/>
        <w:pageBreakBefore w:val="0"/>
        <w:widowControl w:val="0"/>
        <w:kinsoku/>
        <w:wordWrap/>
        <w:overflowPunct/>
        <w:topLinePunct w:val="0"/>
        <w:autoSpaceDN/>
        <w:bidi w:val="0"/>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auto"/>
          <w:spacing w:val="0"/>
          <w:sz w:val="32"/>
          <w:szCs w:val="32"/>
          <w:shd w:val="clear" w:color="auto" w:fill="FFFFFF"/>
          <w:lang w:eastAsia="zh-CN"/>
        </w:rPr>
      </w:pPr>
      <w:r>
        <w:rPr>
          <w:rFonts w:hint="eastAsia" w:ascii="仿宋_GB2312" w:hAnsi="仿宋_GB2312" w:eastAsia="仿宋_GB2312" w:cs="仿宋_GB2312"/>
          <w:b w:val="0"/>
          <w:i w:val="0"/>
          <w:caps w:val="0"/>
          <w:color w:val="auto"/>
          <w:spacing w:val="0"/>
          <w:sz w:val="32"/>
          <w:szCs w:val="32"/>
          <w:shd w:val="clear" w:color="auto" w:fill="FFFFFF"/>
          <w:lang w:eastAsia="zh-CN"/>
        </w:rPr>
        <w:t>制约备案审查发挥其应有作用的主要因素</w:t>
      </w:r>
    </w:p>
    <w:p>
      <w:pPr>
        <w:keepNext w:val="0"/>
        <w:keepLines w:val="0"/>
        <w:pageBreakBefore w:val="0"/>
        <w:widowControl w:val="0"/>
        <w:kinsoku/>
        <w:wordWrap/>
        <w:overflowPunct/>
        <w:topLinePunct w:val="0"/>
        <w:autoSpaceDN/>
        <w:bidi w:val="0"/>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i w:val="0"/>
          <w:caps w:val="0"/>
          <w:color w:val="auto"/>
          <w:spacing w:val="0"/>
          <w:sz w:val="32"/>
          <w:szCs w:val="32"/>
          <w:shd w:val="clear" w:color="auto" w:fill="FFFFFF"/>
          <w:lang w:eastAsia="zh-CN"/>
        </w:rPr>
      </w:pPr>
      <w:r>
        <w:rPr>
          <w:rFonts w:hint="eastAsia" w:ascii="仿宋_GB2312" w:hAnsi="仿宋_GB2312" w:eastAsia="仿宋_GB2312" w:cs="仿宋_GB2312"/>
          <w:b w:val="0"/>
          <w:i w:val="0"/>
          <w:caps w:val="0"/>
          <w:color w:val="auto"/>
          <w:spacing w:val="0"/>
          <w:sz w:val="32"/>
          <w:szCs w:val="32"/>
          <w:shd w:val="clear" w:color="auto" w:fill="FFFFFF"/>
          <w:lang w:eastAsia="zh-CN"/>
        </w:rPr>
        <w:t>将备案审查制度优势转化为治理效能、助力地方经济社会发展的对策建议（从维护法治统一、保护公民合法权益、提高地方立法质量、优化营商环境等角度）</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【研究期限】6个月</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20" w:lineRule="exact"/>
        <w:ind w:left="0" w:leftChars="0" w:right="0" w:rightChars="0" w:firstLine="64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textAlignment w:val="auto"/>
        <w:rPr>
          <w:rFonts w:hint="eastAsia" w:ascii="黑体" w:hAnsi="黑体" w:eastAsia="黑体" w:cs="黑体"/>
          <w:i w:val="0"/>
          <w:iCs w:val="0"/>
          <w:caps w:val="0"/>
          <w:color w:val="000000"/>
          <w:spacing w:val="0"/>
          <w:sz w:val="32"/>
          <w:szCs w:val="32"/>
          <w:shd w:val="clear" w:color="auto" w:fill="FAFAFA"/>
          <w:lang w:eastAsia="zh-CN"/>
        </w:rPr>
      </w:pPr>
      <w:r>
        <w:rPr>
          <w:rFonts w:hint="eastAsia" w:ascii="黑体" w:hAnsi="黑体" w:eastAsia="黑体" w:cs="黑体"/>
          <w:b w:val="0"/>
          <w:i w:val="0"/>
          <w:caps w:val="0"/>
          <w:color w:val="000000"/>
          <w:spacing w:val="0"/>
          <w:sz w:val="32"/>
          <w:szCs w:val="32"/>
          <w:shd w:val="clear" w:color="auto" w:fill="FFFFFF"/>
          <w:lang w:val="en-US" w:eastAsia="zh-CN"/>
        </w:rPr>
        <w:t>2022年度</w:t>
      </w:r>
      <w:r>
        <w:rPr>
          <w:rFonts w:hint="eastAsia" w:ascii="黑体" w:hAnsi="黑体" w:eastAsia="黑体" w:cs="黑体"/>
          <w:b w:val="0"/>
          <w:i w:val="0"/>
          <w:caps w:val="0"/>
          <w:color w:val="000000"/>
          <w:spacing w:val="0"/>
          <w:sz w:val="32"/>
          <w:szCs w:val="32"/>
          <w:shd w:val="clear" w:color="auto" w:fill="FFFFFF"/>
          <w:lang w:eastAsia="zh-CN"/>
        </w:rPr>
        <w:t>福建省人大理论研究项目（七）</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outlineLvl w:val="9"/>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bCs w:val="0"/>
          <w:sz w:val="40"/>
          <w:szCs w:val="40"/>
          <w:lang w:eastAsia="zh-CN"/>
        </w:rPr>
      </w:pPr>
      <w:r>
        <w:rPr>
          <w:rFonts w:hint="eastAsia" w:ascii="方正小标宋_GBK" w:hAnsi="方正小标宋_GBK" w:eastAsia="方正小标宋_GBK" w:cs="方正小标宋_GBK"/>
          <w:b w:val="0"/>
          <w:bCs w:val="0"/>
          <w:sz w:val="40"/>
          <w:szCs w:val="40"/>
          <w:lang w:eastAsia="zh-CN"/>
        </w:rPr>
        <w:t>新形势下落实在闽台胞同等待遇问题研究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hint="eastAsia"/>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val="0"/>
          <w:bCs w:val="0"/>
          <w:sz w:val="32"/>
          <w:szCs w:val="32"/>
          <w:lang w:eastAsia="zh-CN"/>
        </w:rPr>
        <w:t>课题说明</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eastAsia="zh-CN"/>
        </w:rPr>
        <w:t>对台胞提供同等待遇是党的十九大提出的对台工作新思路，也是大陆推进两岸深化融合发展的重要抓手。落实好台胞同等待遇对于福建探索两岸融合发展新路、打造台胞台企登陆“第一家园”具有重要意义。近年来我省积极探索推动落实台胞同等待遇，在实践中已取得了一些成效，但离构建两岸融合发展示范区的要求还有差距，有必要对落实台胞同等待遇进行研究，并探究地方立法在促进落实台胞同等待遇如何发挥作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val="0"/>
          <w:bCs w:val="0"/>
          <w:sz w:val="32"/>
          <w:szCs w:val="32"/>
          <w:lang w:eastAsia="zh-CN"/>
        </w:rPr>
        <w:t>主要研究内容</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val="en-US" w:eastAsia="zh-CN"/>
        </w:rPr>
        <w:t>（包含且不限于以下内容，可根据研究需要调整）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新形势下台胞享有同等待遇的具体内涵（从理论依据、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应然的权利内容与范围、对于两岸民众融合的意义等角度展开）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在闽台胞享有同等待遇的现状检视（从台胞享有同等待遇的制度或政策依据、台胞可享受的权利种类和范围、实际落实情况、存在的问题等角度展开）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现行立法中有关台胞享有同等待遇规范存在的问题（从已有规范梳理、应然与实然的差距、功能的发挥等角度展开）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对于地方立法推动落实台胞享有同等待遇的建议（从法理基础、现行法依据、破解路径、应构建的制度内容等角度展开）</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60"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【研究期限】6个月</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60" w:lineRule="exact"/>
        <w:ind w:right="0" w:rightChars="0"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w:t>
      </w:r>
    </w:p>
    <w:p>
      <w:pPr>
        <w:pStyle w:val="7"/>
        <w:keepNext w:val="0"/>
        <w:keepLines w:val="0"/>
        <w:pageBreakBefore w:val="0"/>
        <w:widowControl w:val="0"/>
        <w:kinsoku/>
        <w:wordWrap/>
        <w:overflowPunct/>
        <w:topLinePunct w:val="0"/>
        <w:autoSpaceDN/>
        <w:bidi w:val="0"/>
        <w:snapToGrid/>
        <w:ind w:right="0" w:rightChars="0"/>
        <w:textAlignment w:val="auto"/>
        <w:rPr>
          <w:rFonts w:hint="eastAsia"/>
          <w:lang w:val="en-US" w:eastAsia="zh-CN"/>
        </w:rPr>
      </w:pPr>
    </w:p>
    <w:p>
      <w:pPr>
        <w:pStyle w:val="7"/>
        <w:keepNext w:val="0"/>
        <w:keepLines w:val="0"/>
        <w:pageBreakBefore w:val="0"/>
        <w:widowControl w:val="0"/>
        <w:kinsoku/>
        <w:wordWrap/>
        <w:overflowPunct/>
        <w:topLinePunct w:val="0"/>
        <w:autoSpaceDN/>
        <w:bidi w:val="0"/>
        <w:snapToGrid/>
        <w:ind w:right="0" w:rightChars="0"/>
        <w:textAlignment w:val="auto"/>
        <w:rPr>
          <w:rFonts w:hint="eastAsia"/>
          <w:lang w:val="en-US" w:eastAsia="zh-CN"/>
        </w:rPr>
      </w:pPr>
    </w:p>
    <w:p>
      <w:pPr>
        <w:pStyle w:val="7"/>
        <w:keepNext w:val="0"/>
        <w:keepLines w:val="0"/>
        <w:pageBreakBefore w:val="0"/>
        <w:widowControl w:val="0"/>
        <w:kinsoku/>
        <w:wordWrap/>
        <w:overflowPunct/>
        <w:topLinePunct w:val="0"/>
        <w:autoSpaceDN/>
        <w:bidi w:val="0"/>
        <w:snapToGrid/>
        <w:ind w:right="0" w:rightChars="0"/>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textAlignment w:val="auto"/>
        <w:rPr>
          <w:rFonts w:hint="eastAsia" w:ascii="黑体" w:hAnsi="黑体" w:eastAsia="黑体" w:cs="黑体"/>
          <w:i w:val="0"/>
          <w:iCs w:val="0"/>
          <w:caps w:val="0"/>
          <w:color w:val="000000"/>
          <w:spacing w:val="0"/>
          <w:sz w:val="32"/>
          <w:szCs w:val="32"/>
          <w:shd w:val="clear" w:color="auto" w:fill="FAFAFA"/>
          <w:lang w:eastAsia="zh-CN"/>
        </w:rPr>
      </w:pPr>
      <w:r>
        <w:rPr>
          <w:rFonts w:hint="eastAsia" w:ascii="黑体" w:hAnsi="黑体" w:eastAsia="黑体" w:cs="黑体"/>
          <w:b w:val="0"/>
          <w:i w:val="0"/>
          <w:caps w:val="0"/>
          <w:color w:val="000000"/>
          <w:spacing w:val="0"/>
          <w:sz w:val="32"/>
          <w:szCs w:val="32"/>
          <w:shd w:val="clear" w:color="auto" w:fill="FFFFFF"/>
          <w:lang w:val="en-US" w:eastAsia="zh-CN"/>
        </w:rPr>
        <w:br w:type="page"/>
      </w:r>
      <w:r>
        <w:rPr>
          <w:rFonts w:hint="eastAsia" w:ascii="黑体" w:hAnsi="黑体" w:eastAsia="黑体" w:cs="黑体"/>
          <w:b w:val="0"/>
          <w:i w:val="0"/>
          <w:caps w:val="0"/>
          <w:color w:val="000000"/>
          <w:spacing w:val="0"/>
          <w:sz w:val="32"/>
          <w:szCs w:val="32"/>
          <w:shd w:val="clear" w:color="auto" w:fill="FFFFFF"/>
          <w:lang w:val="en-US" w:eastAsia="zh-CN"/>
        </w:rPr>
        <w:t>2022年度</w:t>
      </w:r>
      <w:r>
        <w:rPr>
          <w:rFonts w:hint="eastAsia" w:ascii="黑体" w:hAnsi="黑体" w:eastAsia="黑体" w:cs="黑体"/>
          <w:b w:val="0"/>
          <w:i w:val="0"/>
          <w:caps w:val="0"/>
          <w:color w:val="000000"/>
          <w:spacing w:val="0"/>
          <w:sz w:val="32"/>
          <w:szCs w:val="32"/>
          <w:shd w:val="clear" w:color="auto" w:fill="FFFFFF"/>
          <w:lang w:eastAsia="zh-CN"/>
        </w:rPr>
        <w:t>福建省人大理论研究项目（八）</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bCs w:val="0"/>
          <w:sz w:val="40"/>
          <w:szCs w:val="40"/>
          <w:lang w:val="en-US" w:eastAsia="zh-CN"/>
        </w:rPr>
      </w:pPr>
      <w:r>
        <w:rPr>
          <w:rFonts w:hint="eastAsia" w:ascii="方正小标宋_GBK" w:hAnsi="方正小标宋_GBK" w:eastAsia="方正小标宋_GBK" w:cs="方正小标宋_GBK"/>
          <w:b w:val="0"/>
          <w:bCs w:val="0"/>
          <w:sz w:val="40"/>
          <w:szCs w:val="40"/>
          <w:lang w:val="en-US" w:eastAsia="zh-CN"/>
        </w:rPr>
        <w:t>《福建省食品安全条例》立法后评估</w:t>
      </w:r>
    </w:p>
    <w:p>
      <w:pPr>
        <w:pStyle w:val="7"/>
        <w:keepNext w:val="0"/>
        <w:keepLines w:val="0"/>
        <w:pageBreakBefore w:val="0"/>
        <w:widowControl w:val="0"/>
        <w:kinsoku/>
        <w:wordWrap/>
        <w:overflowPunct/>
        <w:topLinePunct w:val="0"/>
        <w:autoSpaceDN/>
        <w:bidi w:val="0"/>
        <w:snapToGrid/>
        <w:spacing w:line="560" w:lineRule="exact"/>
        <w:ind w:left="0" w:leftChars="0" w:right="0" w:rightChars="0" w:firstLine="0" w:firstLineChars="0"/>
        <w:textAlignment w:val="auto"/>
        <w:outlineLvl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Lines="0" w:afterLines="0"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【课题说明】民以食为天，食以安为先。</w:t>
      </w:r>
      <w:r>
        <w:rPr>
          <w:rFonts w:hint="eastAsia" w:ascii="仿宋_GB2312" w:hAnsi="仿宋_GB2312" w:eastAsia="仿宋_GB2312" w:cs="仿宋_GB2312"/>
          <w:sz w:val="32"/>
          <w:szCs w:val="32"/>
        </w:rPr>
        <w:t>实施好《福建省食品安全条例》，对于着力解决食品安全突出问题，积极回应社会大众对食品安全的关切，确保人民群众“舌尖上的安全”，具有非常重要的意义。2017年7月21日，省十二届人大常委会第三十次会议审议通过了《福建省食品安全条例》</w:t>
      </w:r>
      <w:r>
        <w:rPr>
          <w:rFonts w:hint="eastAsia" w:ascii="仿宋_GB2312" w:hAnsi="仿宋_GB2312" w:eastAsia="仿宋_GB2312" w:cs="仿宋_GB2312"/>
          <w:sz w:val="32"/>
          <w:szCs w:val="32"/>
          <w:lang w:eastAsia="zh-CN"/>
        </w:rPr>
        <w:t>，2021年5月27日省十三届人大常委会第二十七次会议进行了修正。</w:t>
      </w:r>
      <w:r>
        <w:rPr>
          <w:rFonts w:hint="eastAsia" w:ascii="仿宋_GB2312" w:hAnsi="仿宋_GB2312" w:eastAsia="仿宋_GB2312" w:cs="仿宋_GB2312"/>
          <w:sz w:val="32"/>
          <w:szCs w:val="32"/>
        </w:rPr>
        <w:t>条例对全面提升我省食品安全的整体水平发挥积极作用</w:t>
      </w:r>
      <w:r>
        <w:rPr>
          <w:rFonts w:hint="eastAsia" w:ascii="仿宋_GB2312" w:hAnsi="仿宋_GB2312" w:eastAsia="仿宋_GB2312" w:cs="仿宋_GB2312"/>
          <w:sz w:val="32"/>
          <w:szCs w:val="32"/>
          <w:lang w:eastAsia="zh-CN"/>
        </w:rPr>
        <w:t>，提供了有力的法治保障。条例已经实施</w:t>
      </w:r>
      <w:r>
        <w:rPr>
          <w:rFonts w:hint="eastAsia" w:ascii="仿宋_GB2312" w:hAnsi="仿宋_GB2312" w:eastAsia="仿宋_GB2312" w:cs="仿宋_GB2312"/>
          <w:sz w:val="32"/>
          <w:szCs w:val="32"/>
          <w:lang w:val="en-US" w:eastAsia="zh-CN"/>
        </w:rPr>
        <w:t>四年多，有必要开展立法后评估，全面梳理条例主要制度贯彻落实情况。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560" w:lineRule="exact"/>
        <w:ind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【主要研究内容】（包含且不限于以下内容，可根据研究需要调整）</w:t>
      </w:r>
    </w:p>
    <w:p>
      <w:pPr>
        <w:keepNext w:val="0"/>
        <w:keepLines w:val="0"/>
        <w:pageBreakBefore w:val="0"/>
        <w:widowControl w:val="0"/>
        <w:kinsoku/>
        <w:wordWrap/>
        <w:overflowPunct/>
        <w:topLinePunct w:val="0"/>
        <w:autoSpaceDE/>
        <w:autoSpaceDN/>
        <w:bidi w:val="0"/>
        <w:adjustRightInd/>
        <w:snapToGrid/>
        <w:spacing w:beforeLines="0" w:afterLines="0"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我省食品安全社会共治体系建设进展情况</w:t>
      </w:r>
    </w:p>
    <w:p>
      <w:pPr>
        <w:keepNext w:val="0"/>
        <w:keepLines w:val="0"/>
        <w:pageBreakBefore w:val="0"/>
        <w:widowControl w:val="0"/>
        <w:kinsoku/>
        <w:wordWrap/>
        <w:overflowPunct/>
        <w:topLinePunct w:val="0"/>
        <w:autoSpaceDE/>
        <w:autoSpaceDN/>
        <w:bidi w:val="0"/>
        <w:adjustRightInd/>
        <w:snapToGrid/>
        <w:spacing w:beforeLines="0" w:afterLines="0"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食品生产企业产品留样制度制度落实情况</w:t>
      </w:r>
    </w:p>
    <w:p>
      <w:pPr>
        <w:keepNext w:val="0"/>
        <w:keepLines w:val="0"/>
        <w:pageBreakBefore w:val="0"/>
        <w:widowControl w:val="0"/>
        <w:kinsoku/>
        <w:wordWrap/>
        <w:overflowPunct/>
        <w:topLinePunct w:val="0"/>
        <w:autoSpaceDE/>
        <w:autoSpaceDN/>
        <w:bidi w:val="0"/>
        <w:adjustRightInd/>
        <w:snapToGrid/>
        <w:spacing w:beforeLines="0" w:afterLines="0"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保障网络交易食品安全制度落实情况</w:t>
      </w:r>
    </w:p>
    <w:p>
      <w:pPr>
        <w:keepNext w:val="0"/>
        <w:keepLines w:val="0"/>
        <w:pageBreakBefore w:val="0"/>
        <w:widowControl w:val="0"/>
        <w:kinsoku/>
        <w:wordWrap/>
        <w:overflowPunct/>
        <w:topLinePunct w:val="0"/>
        <w:autoSpaceDE/>
        <w:autoSpaceDN/>
        <w:bidi w:val="0"/>
        <w:adjustRightInd/>
        <w:snapToGrid/>
        <w:spacing w:beforeLines="0" w:afterLines="0" w:line="520" w:lineRule="exact"/>
        <w:ind w:left="0" w:leftChars="0" w:right="0" w:rightChars="0" w:firstLine="616" w:firstLineChars="200"/>
        <w:jc w:val="both"/>
        <w:textAlignment w:val="auto"/>
        <w:outlineLvl w:val="9"/>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规范食品小作坊、小摊贩、小餐饮生产经营制度落实情况</w:t>
      </w:r>
    </w:p>
    <w:p>
      <w:pPr>
        <w:keepNext w:val="0"/>
        <w:keepLines w:val="0"/>
        <w:pageBreakBefore w:val="0"/>
        <w:widowControl w:val="0"/>
        <w:kinsoku/>
        <w:wordWrap/>
        <w:overflowPunct/>
        <w:topLinePunct w:val="0"/>
        <w:autoSpaceDE/>
        <w:autoSpaceDN/>
        <w:bidi w:val="0"/>
        <w:adjustRightInd/>
        <w:snapToGrid/>
        <w:spacing w:beforeLines="0" w:afterLines="0"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农村集体聚餐等食品监管制度落实情况</w:t>
      </w:r>
    </w:p>
    <w:p>
      <w:pPr>
        <w:keepNext w:val="0"/>
        <w:keepLines w:val="0"/>
        <w:pageBreakBefore w:val="0"/>
        <w:widowControl w:val="0"/>
        <w:kinsoku/>
        <w:wordWrap/>
        <w:overflowPunct/>
        <w:topLinePunct w:val="0"/>
        <w:autoSpaceDE/>
        <w:autoSpaceDN/>
        <w:bidi w:val="0"/>
        <w:adjustRightInd/>
        <w:snapToGrid/>
        <w:spacing w:beforeLines="0" w:afterLines="0"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食品安全条例实施中存在问题及立法建议</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60" w:lineRule="exact"/>
        <w:ind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【研究期限】6个月</w:t>
      </w:r>
    </w:p>
    <w:p>
      <w:pPr>
        <w:pStyle w:val="7"/>
        <w:keepNext w:val="0"/>
        <w:keepLines w:val="0"/>
        <w:pageBreakBefore w:val="0"/>
        <w:widowControl w:val="0"/>
        <w:numPr>
          <w:ilvl w:val="0"/>
          <w:numId w:val="0"/>
        </w:numPr>
        <w:kinsoku/>
        <w:wordWrap/>
        <w:overflowPunct/>
        <w:topLinePunct w:val="0"/>
        <w:autoSpaceDE w:val="0"/>
        <w:autoSpaceDN/>
        <w:bidi w:val="0"/>
        <w:adjustRightInd w:val="0"/>
        <w:snapToGrid/>
        <w:spacing w:line="560" w:lineRule="exact"/>
        <w:ind w:right="0" w:rightChars="0"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万元</w:t>
      </w:r>
    </w:p>
    <w:p>
      <w:pPr>
        <w:pStyle w:val="2"/>
        <w:keepNext w:val="0"/>
        <w:keepLines w:val="0"/>
        <w:pageBreakBefore w:val="0"/>
        <w:widowControl w:val="0"/>
        <w:kinsoku/>
        <w:wordWrap/>
        <w:overflowPunct/>
        <w:topLinePunct w:val="0"/>
        <w:autoSpaceDN/>
        <w:bidi w:val="0"/>
        <w:snapToGrid/>
        <w:ind w:right="0" w:rightChars="0"/>
        <w:textAlignment w:val="auto"/>
        <w:rPr>
          <w:rFonts w:hint="eastAsia" w:ascii="仿宋_GB2312" w:hAnsi="仿宋_GB2312" w:eastAsia="仿宋_GB2312" w:cs="仿宋_GB2312"/>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FZFangSong-Z02">
    <w:altName w:val="宋体"/>
    <w:panose1 w:val="00000000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jYWRiNzg5YzM1YTc3OTE2NzQ4OWVlOGY1NjAwZDQifQ=="/>
  </w:docVars>
  <w:rsids>
    <w:rsidRoot w:val="3F742B6D"/>
    <w:rsid w:val="3F742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1.正文"/>
    <w:basedOn w:val="1"/>
    <w:qFormat/>
    <w:uiPriority w:val="0"/>
    <w:rPr>
      <w:rFonts w:ascii="Times New Roman" w:hAnsi="Times New Roman" w:eastAsia="宋体" w:cs="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Default"/>
    <w:unhideWhenUsed/>
    <w:qFormat/>
    <w:uiPriority w:val="99"/>
    <w:pPr>
      <w:widowControl w:val="0"/>
      <w:autoSpaceDE w:val="0"/>
      <w:autoSpaceDN w:val="0"/>
      <w:adjustRightInd w:val="0"/>
    </w:pPr>
    <w:rPr>
      <w:rFonts w:hint="eastAsia" w:ascii="FZFangSong-Z02" w:hAnsi="FZFangSong-Z02" w:eastAsia="FZFangSong-Z0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2022-06-08T03:42:00Z</dcterms:created>
  <dc:creator>Administrator</dc:creator>
  <cp:lastModifiedBy>Administrator</cp:lastModifiedBy>
  <dcterms:modified xsi:type="dcterms:W3CDTF">2022-06-08T03:44:12Z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107986E77BDF4BC68EF7FECDB0DE31FE</vt:lpwstr>
  </property>
</Properties>
</file>