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11736">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黑体" w:hAnsi="黑体" w:eastAsia="黑体" w:cs="黑体"/>
          <w:snapToGrid w:val="0"/>
          <w:color w:val="000000"/>
          <w:spacing w:val="11"/>
          <w:kern w:val="0"/>
          <w:sz w:val="32"/>
          <w:szCs w:val="32"/>
          <w:lang w:val="en-US" w:eastAsia="zh-CN"/>
        </w:rPr>
      </w:pPr>
      <w:r>
        <w:rPr>
          <w:rFonts w:hint="eastAsia" w:ascii="黑体" w:hAnsi="黑体" w:eastAsia="黑体" w:cs="黑体"/>
          <w:snapToGrid w:val="0"/>
          <w:color w:val="000000"/>
          <w:spacing w:val="11"/>
          <w:kern w:val="0"/>
          <w:sz w:val="32"/>
          <w:szCs w:val="32"/>
          <w:lang w:val="en-US" w:eastAsia="zh-CN"/>
        </w:rPr>
        <w:t>附件1</w:t>
      </w:r>
    </w:p>
    <w:p w14:paraId="09D272E5">
      <w:pPr>
        <w:spacing w:beforeLines="0" w:afterLines="0"/>
        <w:jc w:val="center"/>
        <w:outlineLvl w:val="0"/>
        <w:rPr>
          <w:rFonts w:hint="default" w:ascii="Times New Roman" w:hAnsi="Times New Roman" w:eastAsia="方正小标宋简体" w:cs="Times New Roman"/>
          <w:color w:val="auto"/>
          <w:sz w:val="44"/>
          <w:szCs w:val="44"/>
        </w:rPr>
      </w:pPr>
      <w:bookmarkStart w:id="0" w:name="_GoBack"/>
      <w:r>
        <w:rPr>
          <w:rFonts w:hint="eastAsia" w:ascii="Times New Roman" w:hAnsi="Times New Roman" w:eastAsia="方正小标宋简体" w:cs="Times New Roman"/>
          <w:color w:val="auto"/>
          <w:sz w:val="44"/>
          <w:szCs w:val="44"/>
          <w:lang w:val="en-US" w:eastAsia="zh-CN"/>
        </w:rPr>
        <w:t>泉州师范</w:t>
      </w:r>
      <w:r>
        <w:rPr>
          <w:rFonts w:hint="eastAsia" w:ascii="Times New Roman" w:hAnsi="Times New Roman" w:eastAsia="方正小标宋简体" w:cs="Times New Roman"/>
          <w:color w:val="auto"/>
          <w:sz w:val="44"/>
          <w:szCs w:val="44"/>
        </w:rPr>
        <w:t>学院课程思政示范</w:t>
      </w:r>
      <w:r>
        <w:rPr>
          <w:rFonts w:hint="eastAsia" w:ascii="Times New Roman" w:hAnsi="Times New Roman" w:eastAsia="方正小标宋简体" w:cs="Times New Roman"/>
          <w:color w:val="auto"/>
          <w:sz w:val="44"/>
          <w:szCs w:val="44"/>
          <w:lang w:eastAsia="zh-CN"/>
        </w:rPr>
        <w:t>项目</w:t>
      </w:r>
      <w:r>
        <w:rPr>
          <w:rFonts w:hint="eastAsia" w:ascii="Times New Roman" w:hAnsi="Times New Roman" w:eastAsia="方正小标宋简体" w:cs="Times New Roman"/>
          <w:color w:val="auto"/>
          <w:sz w:val="44"/>
          <w:szCs w:val="44"/>
        </w:rPr>
        <w:t>验收标准</w:t>
      </w:r>
    </w:p>
    <w:bookmarkEnd w:id="0"/>
    <w:tbl>
      <w:tblPr>
        <w:tblStyle w:val="3"/>
        <w:tblW w:w="14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5"/>
        <w:gridCol w:w="7954"/>
        <w:gridCol w:w="4768"/>
      </w:tblGrid>
      <w:tr w14:paraId="60DFB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blHeader/>
          <w:jc w:val="center"/>
        </w:trPr>
        <w:tc>
          <w:tcPr>
            <w:tcW w:w="657" w:type="pct"/>
            <w:shd w:val="clear" w:color="auto" w:fill="auto"/>
            <w:vAlign w:val="center"/>
          </w:tcPr>
          <w:p w14:paraId="3F7C9044">
            <w:pPr>
              <w:keepNext w:val="0"/>
              <w:keepLines w:val="0"/>
              <w:pageBreakBefore w:val="0"/>
              <w:widowControl w:val="0"/>
              <w:kinsoku/>
              <w:wordWrap/>
              <w:overflowPunct/>
              <w:topLinePunct w:val="0"/>
              <w:autoSpaceDE/>
              <w:autoSpaceDN/>
              <w:bidi w:val="0"/>
              <w:adjustRightInd/>
              <w:snapToGrid/>
              <w:spacing w:before="63" w:beforeLines="20" w:after="63" w:afterLines="20" w:line="22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验收要点</w:t>
            </w:r>
          </w:p>
        </w:tc>
        <w:tc>
          <w:tcPr>
            <w:tcW w:w="2714" w:type="pct"/>
            <w:shd w:val="clear" w:color="auto" w:fill="auto"/>
            <w:vAlign w:val="center"/>
          </w:tcPr>
          <w:p w14:paraId="5F6869FC">
            <w:pPr>
              <w:keepNext w:val="0"/>
              <w:keepLines w:val="0"/>
              <w:pageBreakBefore w:val="0"/>
              <w:widowControl w:val="0"/>
              <w:kinsoku/>
              <w:wordWrap/>
              <w:overflowPunct/>
              <w:topLinePunct w:val="0"/>
              <w:autoSpaceDE/>
              <w:autoSpaceDN/>
              <w:bidi w:val="0"/>
              <w:adjustRightInd/>
              <w:snapToGrid/>
              <w:spacing w:before="63" w:beforeLines="20" w:after="63" w:afterLines="20" w:line="22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验收标准</w:t>
            </w:r>
          </w:p>
        </w:tc>
        <w:tc>
          <w:tcPr>
            <w:tcW w:w="1627" w:type="pct"/>
            <w:shd w:val="clear" w:color="auto" w:fill="auto"/>
            <w:vAlign w:val="center"/>
          </w:tcPr>
          <w:p w14:paraId="7CE4B106">
            <w:pPr>
              <w:keepNext w:val="0"/>
              <w:keepLines w:val="0"/>
              <w:pageBreakBefore w:val="0"/>
              <w:widowControl w:val="0"/>
              <w:kinsoku/>
              <w:wordWrap/>
              <w:overflowPunct/>
              <w:topLinePunct w:val="0"/>
              <w:autoSpaceDE/>
              <w:autoSpaceDN/>
              <w:bidi w:val="0"/>
              <w:adjustRightInd/>
              <w:snapToGrid/>
              <w:spacing w:before="63" w:beforeLines="20" w:after="63" w:afterLines="20" w:line="220" w:lineRule="exact"/>
              <w:jc w:val="center"/>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准备材料</w:t>
            </w:r>
          </w:p>
        </w:tc>
      </w:tr>
      <w:tr w14:paraId="7037A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657" w:type="pct"/>
            <w:shd w:val="clear" w:color="auto" w:fill="auto"/>
            <w:vAlign w:val="center"/>
          </w:tcPr>
          <w:p w14:paraId="6961FCE9">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1.课程的思政元素挖掘及体系化设计情况</w:t>
            </w:r>
          </w:p>
        </w:tc>
        <w:tc>
          <w:tcPr>
            <w:tcW w:w="2714" w:type="pct"/>
            <w:shd w:val="clear" w:color="auto" w:fill="auto"/>
            <w:vAlign w:val="center"/>
          </w:tcPr>
          <w:p w14:paraId="79BC522C">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both"/>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lang w:val="en-US" w:eastAsia="zh-CN" w:bidi="ar-SA"/>
              </w:rPr>
              <w:t>1.1</w:t>
            </w:r>
            <w:r>
              <w:rPr>
                <w:rFonts w:hint="eastAsia" w:ascii="仿宋_GB2312" w:hAnsi="仿宋_GB2312" w:eastAsia="仿宋_GB2312" w:cs="仿宋_GB2312"/>
                <w:kern w:val="0"/>
                <w:sz w:val="24"/>
                <w:szCs w:val="24"/>
                <w:shd w:val="clear" w:color="auto" w:fill="FFFFFF"/>
                <w:lang w:val="en-US" w:eastAsia="zh-CN" w:bidi="ar-SA"/>
              </w:rPr>
              <w:t>结合所在学科专业、所属课程类型的育人要求和特点，清楚说明课程思政的建设思路，体系化设计整门课程蕴含的思政教育资源，课程思政内容丰富，形式多样。</w:t>
            </w:r>
          </w:p>
        </w:tc>
        <w:tc>
          <w:tcPr>
            <w:tcW w:w="1627" w:type="pct"/>
            <w:shd w:val="clear" w:color="auto" w:fill="auto"/>
            <w:vAlign w:val="center"/>
          </w:tcPr>
          <w:p w14:paraId="3B9253DC">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shd w:val="clear" w:color="auto" w:fill="FFFFFF"/>
              </w:rPr>
              <w:t>1.课程思政</w:t>
            </w:r>
            <w:r>
              <w:rPr>
                <w:rFonts w:hint="eastAsia" w:ascii="仿宋_GB2312" w:hAnsi="仿宋_GB2312" w:eastAsia="仿宋_GB2312" w:cs="仿宋_GB2312"/>
                <w:sz w:val="24"/>
                <w:szCs w:val="24"/>
                <w:shd w:val="clear" w:color="auto" w:fill="FFFFFF"/>
                <w:lang w:val="en-US" w:eastAsia="zh-CN"/>
              </w:rPr>
              <w:t>建设的总结</w:t>
            </w:r>
            <w:r>
              <w:rPr>
                <w:rFonts w:hint="eastAsia" w:ascii="仿宋_GB2312" w:hAnsi="仿宋_GB2312" w:eastAsia="仿宋_GB2312" w:cs="仿宋_GB2312"/>
                <w:sz w:val="24"/>
                <w:szCs w:val="24"/>
                <w:shd w:val="clear" w:color="auto" w:fill="FFFFFF"/>
                <w:lang w:eastAsia="zh-CN"/>
              </w:rPr>
              <w:t>（</w:t>
            </w:r>
            <w:r>
              <w:rPr>
                <w:rFonts w:hint="eastAsia" w:ascii="仿宋_GB2312" w:hAnsi="仿宋_GB2312" w:eastAsia="仿宋_GB2312" w:cs="仿宋_GB2312"/>
                <w:sz w:val="24"/>
                <w:szCs w:val="24"/>
                <w:shd w:val="clear" w:color="auto" w:fill="FFFFFF"/>
                <w:lang w:val="en-US" w:eastAsia="zh-CN"/>
              </w:rPr>
              <w:t>3000字左右</w:t>
            </w:r>
            <w:r>
              <w:rPr>
                <w:rFonts w:hint="eastAsia" w:ascii="仿宋_GB2312" w:hAnsi="仿宋_GB2312" w:eastAsia="仿宋_GB2312" w:cs="仿宋_GB2312"/>
                <w:sz w:val="24"/>
                <w:szCs w:val="24"/>
                <w:shd w:val="clear" w:color="auto" w:fill="FFFFFF"/>
                <w:lang w:eastAsia="zh-CN"/>
              </w:rPr>
              <w:t>）</w:t>
            </w:r>
            <w:r>
              <w:rPr>
                <w:rFonts w:hint="eastAsia" w:ascii="仿宋_GB2312" w:hAnsi="仿宋_GB2312" w:eastAsia="仿宋_GB2312" w:cs="仿宋_GB2312"/>
                <w:sz w:val="24"/>
                <w:szCs w:val="24"/>
                <w:shd w:val="clear" w:color="auto" w:fill="FFFFFF"/>
              </w:rPr>
              <w:t>。</w:t>
            </w:r>
          </w:p>
          <w:p w14:paraId="4A8F811A">
            <w:pPr>
              <w:keepNext w:val="0"/>
              <w:keepLines w:val="0"/>
              <w:pageBreakBefore w:val="0"/>
              <w:widowControl w:val="0"/>
              <w:kinsoku/>
              <w:wordWrap/>
              <w:overflowPunct/>
              <w:topLinePunct w:val="0"/>
              <w:autoSpaceDE/>
              <w:autoSpaceDN/>
              <w:bidi w:val="0"/>
              <w:adjustRightInd/>
              <w:snapToGrid/>
              <w:spacing w:beforeAutospacing="0" w:afterAutospacing="0" w:line="260" w:lineRule="exact"/>
              <w:ind w:firstLine="0" w:firstLineChars="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2.课程思政教学设计案例至少2个。</w:t>
            </w:r>
          </w:p>
          <w:p w14:paraId="6BF1AB67">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3.在</w:t>
            </w:r>
            <w:r>
              <w:rPr>
                <w:rFonts w:hint="eastAsia" w:ascii="仿宋_GB2312" w:hAnsi="仿宋_GB2312" w:eastAsia="仿宋_GB2312" w:cs="仿宋_GB2312"/>
                <w:sz w:val="24"/>
                <w:szCs w:val="24"/>
                <w:shd w:val="clear" w:color="auto" w:fill="FFFFFF"/>
                <w:lang w:val="en-US" w:eastAsia="zh-CN"/>
              </w:rPr>
              <w:t>网络</w:t>
            </w:r>
            <w:r>
              <w:rPr>
                <w:rFonts w:hint="eastAsia" w:ascii="仿宋_GB2312" w:hAnsi="仿宋_GB2312" w:eastAsia="仿宋_GB2312" w:cs="仿宋_GB2312"/>
                <w:sz w:val="24"/>
                <w:szCs w:val="24"/>
                <w:shd w:val="clear" w:color="auto" w:fill="FFFFFF"/>
              </w:rPr>
              <w:t>平台建设课程思政教学资料，或在原课程网站的基础上完善包含思政内容的相关章节。</w:t>
            </w:r>
          </w:p>
        </w:tc>
      </w:tr>
      <w:tr w14:paraId="6A975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jc w:val="center"/>
        </w:trPr>
        <w:tc>
          <w:tcPr>
            <w:tcW w:w="657" w:type="pct"/>
            <w:shd w:val="clear" w:color="auto" w:fill="auto"/>
            <w:vAlign w:val="center"/>
          </w:tcPr>
          <w:p w14:paraId="1C80E30F">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2.教学大纲修订</w:t>
            </w:r>
          </w:p>
        </w:tc>
        <w:tc>
          <w:tcPr>
            <w:tcW w:w="2714" w:type="pct"/>
            <w:shd w:val="clear" w:color="auto" w:fill="auto"/>
            <w:vAlign w:val="center"/>
          </w:tcPr>
          <w:p w14:paraId="0844872C">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2.1在本课程原教学大纲基础上修订教学大纲，注重思政教育与专业教育的有机衔接和融合。</w:t>
            </w:r>
          </w:p>
          <w:p w14:paraId="06FFB56F">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2.2新教学大纲须确立价值塑造、能力培养、知识传授三位一体的课程目标，思政目标描述清晰准确，与知识、能力目标有机衔接。</w:t>
            </w:r>
          </w:p>
          <w:p w14:paraId="2746410E">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2.3新教学大纲教学内容要体现思想性、前沿性与时代性，教学方法要体现先进性、互动性与针对性。</w:t>
            </w:r>
          </w:p>
          <w:p w14:paraId="77FBA358">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2.4新教学大纲要求能够有效使用各种教学方法和手段，能够潜移默化地对学生的思想认识、行为举止产生积极影响。</w:t>
            </w:r>
          </w:p>
        </w:tc>
        <w:tc>
          <w:tcPr>
            <w:tcW w:w="1627" w:type="pct"/>
            <w:shd w:val="clear" w:color="auto" w:fill="auto"/>
            <w:vAlign w:val="center"/>
          </w:tcPr>
          <w:p w14:paraId="1A2470F1">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修订后的教学大纲。</w:t>
            </w:r>
          </w:p>
        </w:tc>
      </w:tr>
      <w:tr w14:paraId="309B3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657" w:type="pct"/>
            <w:shd w:val="clear" w:color="auto" w:fill="auto"/>
            <w:vAlign w:val="center"/>
          </w:tcPr>
          <w:p w14:paraId="1E40BA57">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both"/>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3.教案或课件编制</w:t>
            </w:r>
          </w:p>
        </w:tc>
        <w:tc>
          <w:tcPr>
            <w:tcW w:w="2714" w:type="pct"/>
            <w:shd w:val="clear" w:color="auto" w:fill="auto"/>
            <w:vAlign w:val="center"/>
          </w:tcPr>
          <w:p w14:paraId="7EB52ACF">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3.1根据修订后的教学大纲编制能体现“课程思政”特点的新课件或新教案。</w:t>
            </w:r>
          </w:p>
        </w:tc>
        <w:tc>
          <w:tcPr>
            <w:tcW w:w="1627" w:type="pct"/>
            <w:shd w:val="clear" w:color="auto" w:fill="auto"/>
            <w:vAlign w:val="center"/>
          </w:tcPr>
          <w:p w14:paraId="76ACA3C8">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新教案或新课件，能配合学校开展课程思政案例库建设工作，促进优质资源的共建共享。</w:t>
            </w:r>
          </w:p>
        </w:tc>
      </w:tr>
      <w:tr w14:paraId="03895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657" w:type="pct"/>
            <w:shd w:val="clear" w:color="auto" w:fill="auto"/>
            <w:vAlign w:val="center"/>
          </w:tcPr>
          <w:p w14:paraId="0B5B41A3">
            <w:pPr>
              <w:keepNext w:val="0"/>
              <w:keepLines w:val="0"/>
              <w:pageBreakBefore w:val="0"/>
              <w:widowControl w:val="0"/>
              <w:shd w:val="clear" w:color="auto" w:fill="FFFFFF"/>
              <w:kinsoku/>
              <w:wordWrap/>
              <w:overflowPunct/>
              <w:topLinePunct w:val="0"/>
              <w:autoSpaceDE/>
              <w:autoSpaceDN/>
              <w:bidi w:val="0"/>
              <w:adjustRightInd/>
              <w:snapToGrid/>
              <w:spacing w:before="63" w:beforeLines="20" w:beforeAutospacing="1" w:after="63" w:afterLines="20" w:afterAutospacing="1" w:line="240" w:lineRule="exact"/>
              <w:jc w:val="both"/>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4.教学资料选用</w:t>
            </w:r>
          </w:p>
        </w:tc>
        <w:tc>
          <w:tcPr>
            <w:tcW w:w="2714" w:type="pct"/>
            <w:shd w:val="clear" w:color="auto" w:fill="auto"/>
            <w:vAlign w:val="center"/>
          </w:tcPr>
          <w:p w14:paraId="36B508C7">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4.1根据教学大纲选用国内外优秀教材或高水平自编教材；</w:t>
            </w:r>
          </w:p>
          <w:p w14:paraId="409F2159">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4.2为学生自主学习提供了丰富有效的课程思政文献资料；</w:t>
            </w:r>
          </w:p>
          <w:p w14:paraId="4D6B167E">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4.3有可行的课程思政实验教材和教学辅助材料，满足教学需要。</w:t>
            </w:r>
          </w:p>
        </w:tc>
        <w:tc>
          <w:tcPr>
            <w:tcW w:w="1627" w:type="pct"/>
            <w:shd w:val="clear" w:color="auto" w:fill="auto"/>
            <w:vAlign w:val="center"/>
          </w:tcPr>
          <w:p w14:paraId="48CEE9F5">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与课程思政教育相关的教学资料。</w:t>
            </w:r>
          </w:p>
        </w:tc>
      </w:tr>
      <w:tr w14:paraId="0615A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657" w:type="pct"/>
            <w:shd w:val="clear" w:color="auto" w:fill="auto"/>
            <w:vAlign w:val="center"/>
          </w:tcPr>
          <w:p w14:paraId="5CC0F5FE">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5.教学团队教研、培训及获奖情况</w:t>
            </w:r>
          </w:p>
        </w:tc>
        <w:tc>
          <w:tcPr>
            <w:tcW w:w="2714" w:type="pct"/>
            <w:shd w:val="clear" w:color="auto" w:fill="auto"/>
            <w:vAlign w:val="center"/>
          </w:tcPr>
          <w:p w14:paraId="43B5F0F7">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p>
          <w:p w14:paraId="761AC0B2">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5.1课程教学团队集体教研制度完善且有效开展课程思政建设教学研究和交流；</w:t>
            </w:r>
          </w:p>
          <w:p w14:paraId="7591CA4A">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5.2课程教学团队成员在院内开展过至少１次公开示范课；</w:t>
            </w:r>
          </w:p>
          <w:p w14:paraId="6A2CF3E5">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5.3课程教学团队成员参加校内外课程思政教学比赛获奖（校外获奖可抵另外２条）。</w:t>
            </w:r>
          </w:p>
        </w:tc>
        <w:tc>
          <w:tcPr>
            <w:tcW w:w="1627" w:type="pct"/>
            <w:shd w:val="clear" w:color="auto" w:fill="auto"/>
            <w:vAlign w:val="center"/>
          </w:tcPr>
          <w:p w14:paraId="33A5C1B7">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1.课程教学团队集体教研情况。</w:t>
            </w:r>
          </w:p>
          <w:p w14:paraId="4D272835">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shd w:val="clear" w:color="auto" w:fill="FFFFFF"/>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shd w:val="clear" w:color="auto" w:fill="FFFFFF"/>
              </w:rPr>
              <w:t>开展课程思政公开课的证明材料。</w:t>
            </w:r>
          </w:p>
          <w:p w14:paraId="0805ECD7">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shd w:val="clear" w:color="auto" w:fill="FFFFFF"/>
              </w:rPr>
              <w:t>3.课程思政教学比赛获奖证明。</w:t>
            </w:r>
          </w:p>
        </w:tc>
      </w:tr>
      <w:tr w14:paraId="40342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657" w:type="pct"/>
            <w:shd w:val="clear" w:color="auto" w:fill="auto"/>
            <w:vAlign w:val="center"/>
          </w:tcPr>
          <w:p w14:paraId="7B45F844">
            <w:pPr>
              <w:keepNext w:val="0"/>
              <w:keepLines w:val="0"/>
              <w:pageBreakBefore w:val="0"/>
              <w:widowControl w:val="0"/>
              <w:kinsoku/>
              <w:wordWrap/>
              <w:overflowPunct/>
              <w:topLinePunct w:val="0"/>
              <w:autoSpaceDE/>
              <w:autoSpaceDN/>
              <w:bidi w:val="0"/>
              <w:adjustRightInd/>
              <w:snapToGrid/>
              <w:spacing w:before="63" w:beforeLines="20" w:after="63" w:afterLines="20" w:line="24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6.教学评价情况</w:t>
            </w:r>
          </w:p>
        </w:tc>
        <w:tc>
          <w:tcPr>
            <w:tcW w:w="2714" w:type="pct"/>
            <w:shd w:val="clear" w:color="auto" w:fill="auto"/>
            <w:vAlign w:val="center"/>
          </w:tcPr>
          <w:p w14:paraId="088ECCF5">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6.1校内（外）同行专家评价良好。</w:t>
            </w:r>
          </w:p>
          <w:p w14:paraId="1CD4F051">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240" w:lineRule="exact"/>
              <w:jc w:val="left"/>
              <w:textAlignment w:val="auto"/>
              <w:rPr>
                <w:rFonts w:hint="eastAsia" w:ascii="仿宋_GB2312" w:hAnsi="仿宋_GB2312" w:eastAsia="仿宋_GB2312" w:cs="仿宋_GB2312"/>
                <w:kern w:val="0"/>
                <w:sz w:val="24"/>
                <w:szCs w:val="24"/>
                <w:shd w:val="clear" w:color="auto" w:fill="FFFFFF"/>
                <w:lang w:val="en-US" w:eastAsia="zh-CN" w:bidi="ar-SA"/>
              </w:rPr>
            </w:pPr>
            <w:r>
              <w:rPr>
                <w:rFonts w:hint="eastAsia" w:ascii="仿宋_GB2312" w:hAnsi="仿宋_GB2312" w:eastAsia="仿宋_GB2312" w:cs="仿宋_GB2312"/>
                <w:kern w:val="0"/>
                <w:sz w:val="24"/>
                <w:szCs w:val="24"/>
                <w:shd w:val="clear" w:color="auto" w:fill="FFFFFF"/>
                <w:lang w:val="en-US" w:eastAsia="zh-CN" w:bidi="ar-SA"/>
              </w:rPr>
              <w:t>6.2学生对课程思政的教学效果反馈良好</w:t>
            </w:r>
          </w:p>
        </w:tc>
        <w:tc>
          <w:tcPr>
            <w:tcW w:w="1627" w:type="pct"/>
            <w:shd w:val="clear" w:color="auto" w:fill="auto"/>
            <w:vAlign w:val="center"/>
          </w:tcPr>
          <w:p w14:paraId="7E3902C1">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1.建设期内学院领导或教学</w:t>
            </w:r>
            <w:r>
              <w:rPr>
                <w:rFonts w:hint="eastAsia" w:ascii="仿宋_GB2312" w:hAnsi="仿宋_GB2312" w:eastAsia="仿宋_GB2312" w:cs="仿宋_GB2312"/>
                <w:sz w:val="24"/>
                <w:szCs w:val="24"/>
                <w:lang w:eastAsia="zh-CN"/>
              </w:rPr>
              <w:t>工作</w:t>
            </w:r>
            <w:r>
              <w:rPr>
                <w:rFonts w:hint="eastAsia" w:ascii="仿宋_GB2312" w:hAnsi="仿宋_GB2312" w:eastAsia="仿宋_GB2312" w:cs="仿宋_GB2312"/>
                <w:sz w:val="24"/>
                <w:szCs w:val="24"/>
              </w:rPr>
              <w:t>委员会</w:t>
            </w:r>
            <w:r>
              <w:rPr>
                <w:rFonts w:hint="eastAsia" w:ascii="仿宋_GB2312" w:hAnsi="仿宋_GB2312" w:eastAsia="仿宋_GB2312" w:cs="仿宋_GB2312"/>
                <w:sz w:val="24"/>
                <w:szCs w:val="24"/>
                <w:lang w:eastAsia="zh-CN"/>
              </w:rPr>
              <w:t>委员</w:t>
            </w:r>
            <w:r>
              <w:rPr>
                <w:rFonts w:hint="eastAsia" w:ascii="仿宋_GB2312" w:hAnsi="仿宋_GB2312" w:eastAsia="仿宋_GB2312" w:cs="仿宋_GB2312"/>
                <w:sz w:val="24"/>
                <w:szCs w:val="24"/>
              </w:rPr>
              <w:t>听课评价至少1份。</w:t>
            </w:r>
          </w:p>
          <w:p w14:paraId="31B1888B">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2.校级督导员听课评价至少1份；</w:t>
            </w:r>
          </w:p>
          <w:p w14:paraId="681BBFE3">
            <w:pPr>
              <w:keepNext w:val="0"/>
              <w:keepLines w:val="0"/>
              <w:pageBreakBefore w:val="0"/>
              <w:widowControl w:val="0"/>
              <w:kinsoku/>
              <w:wordWrap/>
              <w:overflowPunct/>
              <w:topLinePunct w:val="0"/>
              <w:autoSpaceDE/>
              <w:autoSpaceDN/>
              <w:bidi w:val="0"/>
              <w:adjustRightInd/>
              <w:snapToGrid/>
              <w:spacing w:beforeAutospacing="0" w:afterAutospacing="0" w:line="260" w:lineRule="exact"/>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3.至少2个学期的教务系统学生评教结果。</w:t>
            </w:r>
          </w:p>
        </w:tc>
      </w:tr>
    </w:tbl>
    <w:p w14:paraId="0F0A280A">
      <w:pPr>
        <w:keepNext w:val="0"/>
        <w:keepLines w:val="0"/>
        <w:pageBreakBefore w:val="0"/>
        <w:widowControl w:val="0"/>
        <w:kinsoku/>
        <w:wordWrap/>
        <w:overflowPunct/>
        <w:topLinePunct w:val="0"/>
        <w:autoSpaceDE/>
        <w:autoSpaceDN/>
        <w:bidi w:val="0"/>
        <w:adjustRightInd/>
        <w:snapToGrid/>
        <w:spacing w:line="220" w:lineRule="exact"/>
        <w:jc w:val="left"/>
        <w:textAlignment w:val="auto"/>
        <w:rPr>
          <w:rFonts w:hint="eastAsia" w:ascii="仿宋_GB2312" w:hAnsi="仿宋_GB2312" w:eastAsia="仿宋_GB2312" w:cs="仿宋_GB2312"/>
          <w:b/>
          <w:bCs/>
          <w:sz w:val="24"/>
          <w:szCs w:val="24"/>
        </w:rPr>
      </w:pPr>
    </w:p>
    <w:p w14:paraId="792B1C9A">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仿宋" w:cs="宋体"/>
          <w:b/>
          <w:bCs/>
          <w:sz w:val="21"/>
          <w:szCs w:val="21"/>
          <w:lang w:eastAsia="zh-CN"/>
        </w:rPr>
        <w:sectPr>
          <w:headerReference r:id="rId3" w:type="default"/>
          <w:pgSz w:w="16838" w:h="11905" w:orient="landscape"/>
          <w:pgMar w:top="907" w:right="1701" w:bottom="907" w:left="1701" w:header="851" w:footer="1247" w:gutter="0"/>
          <w:pgNumType w:fmt="decimal"/>
          <w:cols w:space="0" w:num="1"/>
          <w:rtlGutter w:val="0"/>
          <w:docGrid w:type="lines" w:linePitch="315" w:charSpace="0"/>
        </w:sectPr>
      </w:pPr>
      <w:r>
        <w:rPr>
          <w:rFonts w:hint="eastAsia" w:ascii="仿宋_GB2312" w:hAnsi="仿宋_GB2312" w:eastAsia="仿宋_GB2312" w:cs="仿宋_GB2312"/>
          <w:b/>
          <w:bCs/>
          <w:sz w:val="24"/>
          <w:szCs w:val="24"/>
        </w:rPr>
        <w:t>注：验收标准中涉及到的所有内容均须提供证明材料，格式不限，特别注意课程建设中过程性材料的收集、整理、保存</w:t>
      </w:r>
      <w:r>
        <w:rPr>
          <w:rFonts w:hint="eastAsia" w:ascii="仿宋_GB2312" w:hAnsi="仿宋_GB2312" w:eastAsia="仿宋_GB2312" w:cs="仿宋_GB2312"/>
          <w:b/>
          <w:bCs/>
          <w:sz w:val="24"/>
          <w:szCs w:val="24"/>
          <w:lang w:eastAsia="zh-CN"/>
        </w:rPr>
        <w:t>。</w:t>
      </w:r>
    </w:p>
    <w:p w14:paraId="1DA73C19"/>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3413C">
    <w:pPr>
      <w:keepNext w:val="0"/>
      <w:keepLines w:val="0"/>
      <w:pageBreakBefore w:val="0"/>
      <w:widowControl w:val="0"/>
      <w:pBdr>
        <w:bottom w:val="none" w:color="auto" w:sz="0" w:space="1"/>
      </w:pBdr>
      <w:tabs>
        <w:tab w:val="center" w:pos="4153"/>
        <w:tab w:val="right" w:pos="8306"/>
      </w:tabs>
      <w:kinsoku/>
      <w:wordWrap/>
      <w:overflowPunct/>
      <w:topLinePunct w:val="0"/>
      <w:autoSpaceDE/>
      <w:autoSpaceDN/>
      <w:bidi w:val="0"/>
      <w:adjustRightInd/>
      <w:snapToGrid w:val="0"/>
      <w:spacing w:line="15" w:lineRule="auto"/>
      <w:jc w:val="center"/>
      <w:textAlignment w:val="baseline"/>
      <w:rPr>
        <w:rFonts w:ascii="Calibri" w:hAnsi="Calibri" w:eastAsia="宋体"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3NGU0MmNlNmY1ZjhhOTE3M2E1NzJmNDNjODY1Y2EifQ=="/>
  </w:docVars>
  <w:rsids>
    <w:rsidRoot w:val="44B64224"/>
    <w:rsid w:val="06BD189D"/>
    <w:rsid w:val="233F74DD"/>
    <w:rsid w:val="28337D85"/>
    <w:rsid w:val="2E09207D"/>
    <w:rsid w:val="2FE9594E"/>
    <w:rsid w:val="37C10D7C"/>
    <w:rsid w:val="42A56C97"/>
    <w:rsid w:val="44B64224"/>
    <w:rsid w:val="77D314B6"/>
    <w:rsid w:val="7EB45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1"/>
    <w:pPr>
      <w:spacing w:beforeLines="0" w:afterLines="0"/>
      <w:ind w:left="471"/>
    </w:pPr>
    <w:rPr>
      <w:rFonts w:hint="eastAsia" w:ascii="仿宋" w:hAnsi="仿宋" w:eastAsia="仿宋" w:cs="仿宋"/>
      <w:sz w:val="32"/>
      <w:szCs w:val="3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895</Words>
  <Characters>941</Characters>
  <Lines>0</Lines>
  <Paragraphs>0</Paragraphs>
  <TotalTime>30</TotalTime>
  <ScaleCrop>false</ScaleCrop>
  <LinksUpToDate>false</LinksUpToDate>
  <CharactersWithSpaces>941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2024-06-06T10:25:00Z</dcterms:created>
  <dc:creator>阿柯</dc:creator>
  <cp:lastModifiedBy>谢燕菲</cp:lastModifiedBy>
  <dcterms:modified xsi:type="dcterms:W3CDTF">2025-05-16T07:33:04Z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54AB71D045F04CB2A18B523E6CDA0B4F_13</vt:lpwstr>
  </property>
</Properties>
</file>