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0"/>
          <w:rFonts w:ascii="宋体" w:hAnsi="宋体" w:eastAsia="宋体" w:cs="宋体"/>
          <w:b/>
          <w:bCs/>
          <w:i w:val="0"/>
          <w:iCs w:val="0"/>
          <w:caps w:val="0"/>
          <w:color w:val="393939"/>
          <w:spacing w:val="0"/>
          <w:sz w:val="72"/>
          <w:szCs w:val="72"/>
          <w:shd w:val="clear" w:fill="FFFFFF"/>
        </w:rPr>
        <w:t>福建省政府采购</w:t>
      </w:r>
    </w:p>
    <w:p>
      <w:pPr>
        <w:pStyle w:val="7"/>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0"/>
          <w:rFonts w:hint="eastAsia" w:ascii="宋体" w:hAnsi="宋体" w:eastAsia="宋体" w:cs="宋体"/>
          <w:b/>
          <w:bCs/>
          <w:i w:val="0"/>
          <w:iCs w:val="0"/>
          <w:caps w:val="0"/>
          <w:color w:val="393939"/>
          <w:spacing w:val="0"/>
          <w:sz w:val="72"/>
          <w:szCs w:val="72"/>
          <w:shd w:val="clear" w:fill="FFFFFF"/>
        </w:rPr>
        <w:t>货物和服务项目</w:t>
      </w:r>
    </w:p>
    <w:p>
      <w:pPr>
        <w:pStyle w:val="7"/>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0"/>
          <w:rFonts w:hint="eastAsia" w:ascii="宋体" w:hAnsi="宋体" w:eastAsia="宋体" w:cs="宋体"/>
          <w:b/>
          <w:bCs/>
          <w:i w:val="0"/>
          <w:iCs w:val="0"/>
          <w:caps w:val="0"/>
          <w:color w:val="393939"/>
          <w:spacing w:val="0"/>
          <w:sz w:val="72"/>
          <w:szCs w:val="72"/>
          <w:shd w:val="clear" w:fill="FFFFFF"/>
        </w:rPr>
        <w:t>公开招标文件</w:t>
      </w:r>
    </w:p>
    <w:p>
      <w:pPr>
        <w:pStyle w:val="7"/>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Style w:val="10"/>
          <w:rFonts w:hint="eastAsia" w:ascii="宋体" w:hAnsi="宋体" w:eastAsia="宋体" w:cs="宋体"/>
          <w:b/>
          <w:bCs/>
          <w:i w:val="0"/>
          <w:iCs w:val="0"/>
          <w:caps w:val="0"/>
          <w:color w:val="393939"/>
          <w:spacing w:val="0"/>
          <w:sz w:val="72"/>
          <w:szCs w:val="72"/>
          <w:shd w:val="clear" w:fill="FFFFFF"/>
        </w:rPr>
        <w:t>     </w:t>
      </w:r>
    </w:p>
    <w:p>
      <w:pPr>
        <w:pStyle w:val="7"/>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7"/>
        <w:keepNext w:val="0"/>
        <w:keepLines w:val="0"/>
        <w:widowControl/>
        <w:suppressLineNumbers w:val="0"/>
        <w:shd w:val="clear" w:fill="FFFFFF"/>
        <w:spacing w:before="75" w:beforeAutospacing="0" w:after="75" w:afterAutospacing="0"/>
        <w:ind w:left="0" w:right="0" w:firstLine="105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r>
        <w:rPr>
          <w:rStyle w:val="10"/>
          <w:rFonts w:hint="eastAsia" w:ascii="宋体" w:hAnsi="宋体" w:eastAsia="宋体" w:cs="宋体"/>
          <w:b/>
          <w:bCs/>
          <w:i w:val="0"/>
          <w:iCs w:val="0"/>
          <w:caps w:val="0"/>
          <w:color w:val="393939"/>
          <w:spacing w:val="0"/>
          <w:sz w:val="30"/>
          <w:szCs w:val="30"/>
          <w:shd w:val="clear" w:fill="FFFFFF"/>
        </w:rPr>
        <w:t>项目名称：</w:t>
      </w:r>
      <w:r>
        <w:rPr>
          <w:rFonts w:hint="eastAsia" w:ascii="宋体" w:hAnsi="宋体" w:eastAsia="宋体" w:cs="宋体"/>
          <w:b/>
          <w:bCs/>
          <w:i w:val="0"/>
          <w:iCs w:val="0"/>
          <w:caps w:val="0"/>
          <w:color w:val="393939"/>
          <w:spacing w:val="0"/>
          <w:sz w:val="30"/>
          <w:szCs w:val="30"/>
          <w:shd w:val="clear" w:fill="FFFFFF"/>
        </w:rPr>
        <w:t>泉州师范学院物信学院物理学专业教学设备采购项目货物类采购项目</w:t>
      </w:r>
      <w:bookmarkStart w:id="0" w:name="_GoBack"/>
      <w:bookmarkEnd w:id="0"/>
    </w:p>
    <w:p>
      <w:pPr>
        <w:pStyle w:val="7"/>
        <w:keepNext w:val="0"/>
        <w:keepLines w:val="0"/>
        <w:widowControl/>
        <w:suppressLineNumbers w:val="0"/>
        <w:shd w:val="clear" w:fill="FFFFFF"/>
        <w:spacing w:before="75" w:beforeAutospacing="0" w:after="75" w:afterAutospacing="0"/>
        <w:ind w:left="0" w:right="0" w:firstLine="1050"/>
        <w:rPr>
          <w:rStyle w:val="10"/>
          <w:rFonts w:hint="eastAsia" w:ascii="宋体" w:hAnsi="宋体" w:eastAsia="宋体" w:cs="宋体"/>
          <w:b/>
          <w:bCs/>
          <w:i w:val="0"/>
          <w:iCs w:val="0"/>
          <w:caps w:val="0"/>
          <w:color w:val="393939"/>
          <w:spacing w:val="0"/>
          <w:sz w:val="30"/>
          <w:szCs w:val="30"/>
          <w:shd w:val="clear" w:fill="FFFFFF"/>
        </w:rPr>
      </w:pPr>
    </w:p>
    <w:p>
      <w:pPr>
        <w:pStyle w:val="7"/>
        <w:keepNext w:val="0"/>
        <w:keepLines w:val="0"/>
        <w:widowControl/>
        <w:suppressLineNumbers w:val="0"/>
        <w:shd w:val="clear" w:fill="FFFFFF"/>
        <w:spacing w:before="75" w:beforeAutospacing="0" w:after="75" w:afterAutospacing="0"/>
        <w:ind w:left="0" w:right="0" w:firstLine="1050"/>
        <w:rPr>
          <w:rFonts w:hint="eastAsia" w:ascii="微软雅黑" w:hAnsi="微软雅黑" w:eastAsia="微软雅黑" w:cs="微软雅黑"/>
          <w:i w:val="0"/>
          <w:iCs w:val="0"/>
          <w:caps w:val="0"/>
          <w:color w:val="393939"/>
          <w:spacing w:val="0"/>
          <w:sz w:val="19"/>
          <w:szCs w:val="19"/>
        </w:rPr>
      </w:pPr>
      <w:r>
        <w:rPr>
          <w:rStyle w:val="10"/>
          <w:rFonts w:hint="eastAsia" w:ascii="宋体" w:hAnsi="宋体" w:eastAsia="宋体" w:cs="宋体"/>
          <w:b/>
          <w:bCs/>
          <w:i w:val="0"/>
          <w:iCs w:val="0"/>
          <w:caps w:val="0"/>
          <w:color w:val="393939"/>
          <w:spacing w:val="0"/>
          <w:sz w:val="30"/>
          <w:szCs w:val="30"/>
          <w:shd w:val="clear" w:fill="FFFFFF"/>
        </w:rPr>
        <w:t>备案编号：</w:t>
      </w:r>
      <w:r>
        <w:rPr>
          <w:rFonts w:hint="eastAsia" w:ascii="宋体" w:hAnsi="宋体" w:eastAsia="宋体" w:cs="宋体"/>
          <w:b/>
          <w:bCs/>
          <w:i w:val="0"/>
          <w:iCs w:val="0"/>
          <w:caps w:val="0"/>
          <w:color w:val="393939"/>
          <w:spacing w:val="0"/>
          <w:sz w:val="30"/>
          <w:szCs w:val="30"/>
          <w:shd w:val="clear" w:fill="FFFFFF"/>
        </w:rPr>
        <w:t>C-SY-GK-202211-B0631-IDN</w:t>
      </w:r>
    </w:p>
    <w:p>
      <w:pPr>
        <w:pStyle w:val="7"/>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7"/>
        <w:keepNext w:val="0"/>
        <w:keepLines w:val="0"/>
        <w:widowControl/>
        <w:suppressLineNumbers w:val="0"/>
        <w:shd w:val="clear" w:fill="FFFFFF"/>
        <w:spacing w:before="75" w:beforeAutospacing="0" w:after="75" w:afterAutospacing="0"/>
        <w:ind w:left="0" w:right="0" w:firstLine="1050"/>
        <w:rPr>
          <w:rFonts w:hint="eastAsia" w:ascii="微软雅黑" w:hAnsi="微软雅黑" w:eastAsia="微软雅黑" w:cs="微软雅黑"/>
          <w:i w:val="0"/>
          <w:iCs w:val="0"/>
          <w:caps w:val="0"/>
          <w:color w:val="393939"/>
          <w:spacing w:val="0"/>
          <w:sz w:val="19"/>
          <w:szCs w:val="19"/>
        </w:rPr>
      </w:pPr>
      <w:r>
        <w:rPr>
          <w:rStyle w:val="10"/>
          <w:rFonts w:hint="eastAsia" w:ascii="宋体" w:hAnsi="宋体" w:eastAsia="宋体" w:cs="宋体"/>
          <w:b/>
          <w:bCs/>
          <w:i w:val="0"/>
          <w:iCs w:val="0"/>
          <w:caps w:val="0"/>
          <w:color w:val="393939"/>
          <w:spacing w:val="0"/>
          <w:sz w:val="30"/>
          <w:szCs w:val="30"/>
          <w:shd w:val="clear" w:fill="FFFFFF"/>
        </w:rPr>
        <w:t>项目编号：</w:t>
      </w:r>
      <w:r>
        <w:rPr>
          <w:rFonts w:hint="eastAsia" w:ascii="宋体" w:hAnsi="宋体" w:eastAsia="宋体" w:cs="宋体"/>
          <w:b/>
          <w:bCs/>
          <w:i w:val="0"/>
          <w:iCs w:val="0"/>
          <w:caps w:val="0"/>
          <w:color w:val="393939"/>
          <w:spacing w:val="0"/>
          <w:sz w:val="30"/>
          <w:szCs w:val="30"/>
          <w:shd w:val="clear" w:fill="FFFFFF"/>
        </w:rPr>
        <w:t>[350500]JP[GK]2022008</w:t>
      </w:r>
      <w:r>
        <w:rPr>
          <w:rStyle w:val="10"/>
          <w:rFonts w:hint="eastAsia" w:ascii="宋体" w:hAnsi="宋体" w:eastAsia="宋体" w:cs="宋体"/>
          <w:b/>
          <w:bCs/>
          <w:i w:val="0"/>
          <w:iCs w:val="0"/>
          <w:caps w:val="0"/>
          <w:color w:val="393939"/>
          <w:spacing w:val="0"/>
          <w:sz w:val="30"/>
          <w:szCs w:val="30"/>
          <w:shd w:val="clear" w:fill="FFFFFF"/>
        </w:rPr>
        <w:br w:type="textWrapping"/>
      </w:r>
      <w:r>
        <w:rPr>
          <w:rStyle w:val="10"/>
          <w:rFonts w:hint="eastAsia" w:ascii="宋体" w:hAnsi="宋体" w:eastAsia="宋体" w:cs="宋体"/>
          <w:b/>
          <w:bCs/>
          <w:i w:val="0"/>
          <w:iCs w:val="0"/>
          <w:caps w:val="0"/>
          <w:color w:val="393939"/>
          <w:spacing w:val="0"/>
          <w:sz w:val="30"/>
          <w:szCs w:val="30"/>
          <w:shd w:val="clear" w:fill="FFFFFF"/>
        </w:rPr>
        <w:t>                   </w:t>
      </w:r>
    </w:p>
    <w:p>
      <w:pPr>
        <w:pStyle w:val="7"/>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Style w:val="10"/>
          <w:rFonts w:hint="eastAsia" w:ascii="宋体" w:hAnsi="宋体" w:eastAsia="宋体" w:cs="宋体"/>
          <w:b/>
          <w:bCs/>
          <w:i w:val="0"/>
          <w:iCs w:val="0"/>
          <w:caps w:val="0"/>
          <w:color w:val="393939"/>
          <w:spacing w:val="0"/>
          <w:sz w:val="28"/>
          <w:szCs w:val="28"/>
          <w:shd w:val="clear" w:fill="FFFFFF"/>
        </w:rPr>
        <w:t> </w:t>
      </w:r>
    </w:p>
    <w:p>
      <w:pPr>
        <w:pStyle w:val="7"/>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7"/>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0"/>
          <w:rFonts w:hint="eastAsia" w:ascii="宋体" w:hAnsi="宋体" w:eastAsia="宋体" w:cs="宋体"/>
          <w:b/>
          <w:bCs/>
          <w:i w:val="0"/>
          <w:iCs w:val="0"/>
          <w:caps w:val="0"/>
          <w:color w:val="393939"/>
          <w:spacing w:val="0"/>
          <w:sz w:val="27"/>
          <w:szCs w:val="27"/>
          <w:shd w:val="clear" w:fill="FFFFFF"/>
        </w:rPr>
        <w:t>采购人：</w:t>
      </w:r>
      <w:r>
        <w:rPr>
          <w:rFonts w:hint="eastAsia" w:ascii="微软雅黑" w:hAnsi="微软雅黑" w:eastAsia="微软雅黑" w:cs="微软雅黑"/>
          <w:i w:val="0"/>
          <w:iCs w:val="0"/>
          <w:caps w:val="0"/>
          <w:color w:val="393939"/>
          <w:spacing w:val="0"/>
          <w:sz w:val="27"/>
          <w:szCs w:val="27"/>
          <w:shd w:val="clear" w:fill="FFFFFF"/>
        </w:rPr>
        <w:t> </w:t>
      </w:r>
      <w:r>
        <w:rPr>
          <w:rFonts w:hint="eastAsia" w:ascii="宋体" w:hAnsi="宋体" w:eastAsia="宋体" w:cs="宋体"/>
          <w:b/>
          <w:bCs/>
          <w:i w:val="0"/>
          <w:iCs w:val="0"/>
          <w:caps w:val="0"/>
          <w:color w:val="393939"/>
          <w:spacing w:val="0"/>
          <w:sz w:val="28"/>
          <w:szCs w:val="28"/>
          <w:shd w:val="clear" w:fill="FFFFFF"/>
        </w:rPr>
        <w:t>泉州师范学院</w:t>
      </w:r>
    </w:p>
    <w:p>
      <w:pPr>
        <w:pStyle w:val="7"/>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0"/>
          <w:rFonts w:hint="eastAsia" w:ascii="宋体" w:hAnsi="宋体" w:eastAsia="宋体" w:cs="宋体"/>
          <w:b/>
          <w:bCs/>
          <w:i w:val="0"/>
          <w:iCs w:val="0"/>
          <w:caps w:val="0"/>
          <w:color w:val="393939"/>
          <w:spacing w:val="0"/>
          <w:sz w:val="28"/>
          <w:szCs w:val="28"/>
          <w:shd w:val="clear" w:fill="FFFFFF"/>
        </w:rPr>
        <w:t>代理机构：</w:t>
      </w:r>
      <w:r>
        <w:rPr>
          <w:rFonts w:hint="eastAsia" w:ascii="宋体" w:hAnsi="宋体" w:eastAsia="宋体" w:cs="宋体"/>
          <w:b/>
          <w:bCs/>
          <w:i w:val="0"/>
          <w:iCs w:val="0"/>
          <w:caps w:val="0"/>
          <w:color w:val="393939"/>
          <w:spacing w:val="0"/>
          <w:sz w:val="28"/>
          <w:szCs w:val="28"/>
          <w:shd w:val="clear" w:fill="FFFFFF"/>
        </w:rPr>
        <w:t>福建省君平建设管理有限公司</w:t>
      </w:r>
    </w:p>
    <w:p>
      <w:pPr>
        <w:pStyle w:val="7"/>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7"/>
          <w:szCs w:val="27"/>
          <w:shd w:val="clear" w:fill="FFFFFF"/>
        </w:rPr>
        <w:t> </w:t>
      </w:r>
    </w:p>
    <w:p>
      <w:pPr>
        <w:pStyle w:val="7"/>
        <w:keepNext w:val="0"/>
        <w:keepLines w:val="0"/>
        <w:widowControl/>
        <w:suppressLineNumbers w:val="0"/>
        <w:shd w:val="clear" w:fill="FFFFFF"/>
        <w:spacing w:before="75" w:beforeAutospacing="0" w:after="75" w:afterAutospacing="0" w:line="360" w:lineRule="atLeast"/>
        <w:ind w:left="0" w:right="720" w:firstLine="0"/>
        <w:jc w:val="center"/>
        <w:rPr>
          <w:rFonts w:hint="eastAsia" w:ascii="微软雅黑" w:hAnsi="微软雅黑" w:eastAsia="微软雅黑" w:cs="微软雅黑"/>
          <w:i w:val="0"/>
          <w:iCs w:val="0"/>
          <w:caps w:val="0"/>
          <w:color w:val="393939"/>
          <w:spacing w:val="0"/>
          <w:sz w:val="19"/>
          <w:szCs w:val="19"/>
        </w:rPr>
      </w:pPr>
      <w:r>
        <w:rPr>
          <w:rStyle w:val="10"/>
          <w:rFonts w:hint="eastAsia" w:ascii="宋体" w:hAnsi="宋体" w:eastAsia="宋体" w:cs="宋体"/>
          <w:b/>
          <w:bCs/>
          <w:i w:val="0"/>
          <w:iCs w:val="0"/>
          <w:caps w:val="0"/>
          <w:color w:val="393939"/>
          <w:spacing w:val="0"/>
          <w:sz w:val="28"/>
          <w:szCs w:val="28"/>
          <w:shd w:val="clear" w:fill="FFFFFF"/>
        </w:rPr>
        <w:t>2022年11月</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bCs/>
          <w:spacing w:val="0"/>
          <w:sz w:val="31"/>
          <w:szCs w:val="31"/>
        </w:rPr>
        <w:t>第一章</w:t>
      </w:r>
      <w:r>
        <w:rPr>
          <w:rStyle w:val="10"/>
          <w:b/>
          <w:bCs/>
          <w:spacing w:val="0"/>
          <w:sz w:val="31"/>
          <w:szCs w:val="31"/>
        </w:rPr>
        <w:t>   </w:t>
      </w:r>
      <w:r>
        <w:rPr>
          <w:rStyle w:val="10"/>
          <w:rFonts w:hint="eastAsia" w:ascii="宋体" w:hAnsi="宋体" w:eastAsia="宋体" w:cs="宋体"/>
          <w:b/>
          <w:bCs/>
          <w:spacing w:val="0"/>
          <w:sz w:val="31"/>
          <w:szCs w:val="31"/>
        </w:rPr>
        <w:t>投标邀请</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采用</w:t>
      </w:r>
      <w:r>
        <w:rPr>
          <w:rFonts w:hint="eastAsia" w:ascii="宋体" w:hAnsi="宋体" w:eastAsia="宋体" w:cs="宋体"/>
          <w:spacing w:val="0"/>
          <w:sz w:val="24"/>
          <w:szCs w:val="24"/>
          <w:u w:val="single"/>
        </w:rPr>
        <w:t>公开招标方式</w:t>
      </w:r>
      <w:r>
        <w:rPr>
          <w:rFonts w:hint="eastAsia" w:ascii="宋体" w:hAnsi="宋体" w:eastAsia="宋体" w:cs="宋体"/>
          <w:spacing w:val="0"/>
          <w:sz w:val="24"/>
          <w:szCs w:val="24"/>
        </w:rPr>
        <w:t>组织</w:t>
      </w:r>
      <w:r>
        <w:rPr>
          <w:rFonts w:hint="eastAsia" w:ascii="宋体" w:hAnsi="宋体" w:eastAsia="宋体" w:cs="宋体"/>
          <w:spacing w:val="0"/>
          <w:sz w:val="24"/>
          <w:szCs w:val="24"/>
          <w:u w:val="none"/>
        </w:rPr>
        <w:t>泉州师范学院物信学院物理学专业教学设备采购项目货物类采购项目</w:t>
      </w:r>
      <w:r>
        <w:rPr>
          <w:rFonts w:hint="eastAsia" w:ascii="宋体" w:hAnsi="宋体" w:eastAsia="宋体" w:cs="宋体"/>
          <w:spacing w:val="0"/>
          <w:sz w:val="24"/>
          <w:szCs w:val="24"/>
        </w:rPr>
        <w:t>（以下简称：“本项目”）的政府采购活动，现邀请供应商参加投标。</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1、备案编号：</w:t>
      </w:r>
      <w:r>
        <w:rPr>
          <w:rFonts w:hint="eastAsia" w:ascii="宋体" w:hAnsi="宋体" w:eastAsia="宋体" w:cs="宋体"/>
          <w:spacing w:val="0"/>
          <w:sz w:val="24"/>
          <w:szCs w:val="24"/>
          <w:u w:val="single"/>
        </w:rPr>
        <w:t>C-SY-GK-202211-B0631-IDN</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2、项目编号：</w:t>
      </w:r>
      <w:r>
        <w:rPr>
          <w:rFonts w:hint="eastAsia" w:ascii="宋体" w:hAnsi="宋体" w:eastAsia="宋体" w:cs="宋体"/>
          <w:spacing w:val="0"/>
          <w:sz w:val="24"/>
          <w:szCs w:val="24"/>
          <w:u w:val="single"/>
        </w:rPr>
        <w:t>[350500]JP[GK]2022008</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3、预算金额、最高限价：详见《采购标的一览表》。</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4、招标内容及要求：详见《采购标的一览表》及招标文件第五章。</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5、需要落实的政府采购政策：(1)进口产品：执行《政府采购进口产品管理办法》，允许进口产品参加投标的品目详见《采购标的一览表》。(2)节能产品、环境标志产品：按照《财政部 发展改革委 生态环境部 市场监管总局关于调整优化节能产品、环境标志产品政府采购执行机制的通知》财库〔2019〕9号规定执行。 (3) 小型、微型企业：执行《政府采购促进中小企业发展暂行办法》。(4) 监狱企业：执行《关于政府采购支持监狱企业发展有关问题的通知》（财库【2014】68号）。(5) 残疾人福利性单位：执行《关于促进残疾人就业政府采购政策的通知》（财库〔2017〕141号）。 (6)执行《关于在政府采购活动中查询及使用信用记录有关问题的通知》（财库﹝2016﹞125号）。</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6、投标人的资格要求</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6.1法定条件：符合政府采购法第二十二条第一款规定的条件。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6.2特定条件：</w:t>
      </w:r>
      <w:r>
        <w:rPr>
          <w:rFonts w:hint="eastAsia" w:ascii="宋体" w:hAnsi="宋体" w:eastAsia="宋体" w:cs="宋体"/>
          <w:spacing w:val="0"/>
          <w:sz w:val="24"/>
          <w:szCs w:val="24"/>
        </w:rPr>
        <w:br w:type="textWrapping"/>
      </w:r>
      <w:r>
        <w:rPr>
          <w:rStyle w:val="10"/>
          <w:rFonts w:hint="eastAsia" w:ascii="宋体" w:hAnsi="宋体" w:eastAsia="宋体" w:cs="宋体"/>
          <w:b/>
          <w:bCs/>
          <w:spacing w:val="0"/>
          <w:sz w:val="24"/>
          <w:szCs w:val="24"/>
        </w:rPr>
        <w:t>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22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b/>
                <w:bCs/>
              </w:rPr>
            </w:pPr>
            <w:r>
              <w:rPr>
                <w:rFonts w:ascii="宋体" w:hAnsi="宋体" w:eastAsia="宋体" w:cs="宋体"/>
                <w:b/>
                <w:bCs/>
                <w:kern w:val="0"/>
                <w:sz w:val="24"/>
                <w:szCs w:val="24"/>
                <w:bdr w:val="none" w:color="auto" w:sz="0" w:space="0"/>
                <w:lang w:val="en-US" w:eastAsia="zh-CN" w:bidi="ar"/>
              </w:rPr>
              <w:t>明细</w:t>
            </w:r>
          </w:p>
        </w:tc>
        <w:tc>
          <w:tcPr>
            <w:tcW w:w="2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b/>
                <w:bCs/>
              </w:rPr>
            </w:pPr>
            <w:r>
              <w:rPr>
                <w:rFonts w:ascii="宋体" w:hAnsi="宋体" w:eastAsia="宋体" w:cs="宋体"/>
                <w:b/>
                <w:bCs/>
                <w:kern w:val="0"/>
                <w:sz w:val="24"/>
                <w:szCs w:val="24"/>
                <w:bdr w:val="none" w:color="auto" w:sz="0" w:space="0"/>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招标文件规定的其他资格证明文件（若有）</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具备履行合同所必需设备和专业技术能力专项证明材料（若有）</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落实政府采购政策的证明材料（专门面向中小企业采购）</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根据《政府采购促进中小企业发展管理办法》（财库〔2020〕46号），本项目为专门面向中小微企业采购项目，不接受非中小微企业参与投标。投标人须按本招标文件第七章的格式提供《中小企业声明函》，否则视为资格审查不合格。注：①上述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②依据相关规定享受扶持政策获得政府采购合同的，小微企业不得将合同分包给大中型企业，中型企业不得将合同分包给大型企业。③本项目为货物类采购项目，对应的中小企业划分标准所属行业为“工业”。④监狱企业视同小型、微型企业，投标人为监狱企业的，可不提供中小企业声明函，但须提供由省级以上监狱管理局、戒毒管理局（含新疆生产建设兵团）出具的属于监狱企业的证明文件。⑤残疾人福利性单位视同小型、微型企业，投标人为残疾人福利性单位的，可不提供中小企业声明函，但须提供《残疾人福利性单位声明函》。</w:t>
            </w:r>
          </w:p>
        </w:tc>
      </w:tr>
    </w:tbl>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6.3是否接受联合体投标：不接受。</w:t>
      </w:r>
    </w:p>
    <w:p>
      <w:pPr>
        <w:pStyle w:val="7"/>
        <w:keepNext w:val="0"/>
        <w:keepLines w:val="0"/>
        <w:widowControl/>
        <w:suppressLineNumbers w:val="0"/>
        <w:spacing w:before="75" w:beforeAutospacing="0" w:after="75" w:afterAutospacing="0"/>
        <w:ind w:left="0" w:right="0" w:firstLine="480"/>
      </w:pPr>
      <w:r>
        <w:rPr>
          <w:rStyle w:val="10"/>
          <w:rFonts w:hint="eastAsia" w:ascii="宋体" w:hAnsi="宋体" w:eastAsia="宋体" w:cs="宋体"/>
          <w:b/>
          <w:bCs/>
          <w:spacing w:val="0"/>
          <w:sz w:val="24"/>
          <w:szCs w:val="24"/>
        </w:rPr>
        <w:t>※根据上述资格要求，电子投标文件中应提交的“投标人的资格及资信证明文件”详见招标文件第四章。</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7、招标文件的获取</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7.1、招标文件获取期限：详见招标公告或更正公告，若不一致，以更正公告为准。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w:t>
      </w:r>
      <w:r>
        <w:rPr>
          <w:rStyle w:val="10"/>
          <w:rFonts w:hint="eastAsia" w:ascii="宋体" w:hAnsi="宋体" w:eastAsia="宋体" w:cs="宋体"/>
          <w:b/>
          <w:bCs/>
          <w:spacing w:val="0"/>
          <w:sz w:val="24"/>
          <w:szCs w:val="24"/>
        </w:rPr>
        <w:t>投标将被拒绝。</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7.3、获取地点及方式：注册账号后，通过福建省政府采购网上公开信息系统以下载方式获取。</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7.4、招标文件售价：</w:t>
      </w:r>
      <w:r>
        <w:rPr>
          <w:rFonts w:hint="default" w:ascii="Times New Roman" w:hAnsi="Times New Roman" w:cs="Times New Roman"/>
          <w:spacing w:val="0"/>
          <w:sz w:val="24"/>
          <w:szCs w:val="24"/>
        </w:rPr>
        <w:t>0</w:t>
      </w:r>
      <w:r>
        <w:rPr>
          <w:rFonts w:hint="eastAsia" w:ascii="宋体" w:hAnsi="宋体" w:eastAsia="宋体" w:cs="宋体"/>
          <w:spacing w:val="0"/>
          <w:sz w:val="24"/>
          <w:szCs w:val="24"/>
        </w:rPr>
        <w:t>元。</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8、投标截止</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8.1、投标截止时间：详见招标公告或更正公告，若不一致，以更正公告为准。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8.2、投标人应在投标截止时间前按照福建省政府采购网上公开信息系统设定的操作流程将电子投标文件上传至福建省政府采购网上公开信息系统，否则</w:t>
      </w:r>
      <w:r>
        <w:rPr>
          <w:rStyle w:val="10"/>
          <w:rFonts w:hint="eastAsia" w:ascii="宋体" w:hAnsi="宋体" w:eastAsia="宋体" w:cs="宋体"/>
          <w:b/>
          <w:bCs/>
          <w:spacing w:val="0"/>
          <w:sz w:val="24"/>
          <w:szCs w:val="24"/>
        </w:rPr>
        <w:t>投标将被拒绝。</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9、开标时间及地点：详见招标公告或更正公告，若不一致，以更正公告为准。</w:t>
      </w:r>
      <w:r>
        <w:rPr>
          <w:rStyle w:val="10"/>
          <w:rFonts w:hint="eastAsia" w:ascii="宋体" w:hAnsi="宋体" w:eastAsia="宋体" w:cs="宋体"/>
          <w:b/>
          <w:bCs/>
          <w:spacing w:val="0"/>
          <w:sz w:val="24"/>
          <w:szCs w:val="24"/>
        </w:rPr>
        <w:t> </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10、公告期限</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10.1、招标公告的公告期限：自财政部和福建省财政厅指定的政府采购信息发布媒体最先发布公告之日起</w:t>
      </w:r>
      <w:r>
        <w:rPr>
          <w:rFonts w:hint="default" w:ascii="Times New Roman" w:hAnsi="Times New Roman" w:cs="Times New Roman"/>
          <w:spacing w:val="0"/>
          <w:sz w:val="24"/>
          <w:szCs w:val="24"/>
        </w:rPr>
        <w:t>5</w:t>
      </w:r>
      <w:r>
        <w:rPr>
          <w:rFonts w:hint="eastAsia" w:ascii="宋体" w:hAnsi="宋体" w:eastAsia="宋体" w:cs="宋体"/>
          <w:spacing w:val="0"/>
          <w:sz w:val="24"/>
          <w:szCs w:val="24"/>
        </w:rPr>
        <w:t>个工作日。</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10.2、招标文件公告期限：招标文件随同招标公告一并发布，其公告期限与招标公告的公告期限保持一致。</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11、采购人：泉州师范学院</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地址：泉州市丰泽区东海大街398号</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联系方法：0595-22919532</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12、代理机构：福建省君平建设管理有限公司</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地址：泉州市永春县桃城镇湖滨路379号</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联系方法：0595-22556818，fjjp27196988@163.com</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附1：账户信息</w:t>
      </w:r>
    </w:p>
    <w:tbl>
      <w:tblPr>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8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310" w:hRule="atLeast"/>
        </w:trPr>
        <w:tc>
          <w:tcPr>
            <w:tcW w:w="868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Style w:val="10"/>
                <w:rFonts w:hint="eastAsia" w:ascii="宋体" w:hAnsi="宋体" w:eastAsia="宋体" w:cs="宋体"/>
                <w:b/>
                <w:bCs/>
                <w:spacing w:val="0"/>
                <w:sz w:val="24"/>
                <w:szCs w:val="24"/>
              </w:rPr>
              <w:t>投标保证金账户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310" w:hRule="atLeast"/>
        </w:trPr>
        <w:tc>
          <w:tcPr>
            <w:tcW w:w="8680" w:type="dxa"/>
            <w:shd w:val="clear"/>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开户名称：</w:t>
            </w:r>
            <w:r>
              <w:rPr>
                <w:rFonts w:hint="eastAsia" w:ascii="宋体" w:hAnsi="宋体" w:eastAsia="宋体" w:cs="宋体"/>
                <w:spacing w:val="0"/>
                <w:sz w:val="24"/>
                <w:szCs w:val="24"/>
                <w:u w:val="single"/>
                <w:shd w:val="clear" w:fill="FFFFFF"/>
              </w:rPr>
              <w:t>福建省君平建设管理有限公司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620" w:hRule="atLeast"/>
        </w:trPr>
        <w:tc>
          <w:tcPr>
            <w:tcW w:w="8680" w:type="dxa"/>
            <w:shd w:val="clear"/>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开户银行：</w:t>
            </w:r>
            <w:r>
              <w:rPr>
                <w:rFonts w:hint="eastAsia" w:ascii="宋体" w:hAnsi="宋体" w:eastAsia="宋体" w:cs="宋体"/>
                <w:spacing w:val="0"/>
                <w:sz w:val="24"/>
                <w:szCs w:val="24"/>
                <w:u w:val="none"/>
              </w:rPr>
              <w:t>供应商在福建省政府采购网上公开信息系统获取招标文件后，根据其提示自行选择要缴交的投标保证金托管银行</w:t>
            </w:r>
            <w:r>
              <w:rPr>
                <w:rFonts w:hint="eastAsia" w:ascii="宋体" w:hAnsi="宋体" w:eastAsia="宋体" w:cs="宋体"/>
                <w:spacing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930" w:hRule="atLeast"/>
        </w:trPr>
        <w:tc>
          <w:tcPr>
            <w:tcW w:w="8680" w:type="dxa"/>
            <w:shd w:val="clear"/>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银行账号：</w:t>
            </w:r>
            <w:r>
              <w:rPr>
                <w:rFonts w:hint="eastAsia" w:ascii="宋体" w:hAnsi="宋体" w:eastAsia="宋体" w:cs="宋体"/>
                <w:spacing w:val="0"/>
                <w:sz w:val="24"/>
                <w:szCs w:val="24"/>
                <w:u w:val="none"/>
              </w:rPr>
              <w:t>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310" w:hRule="atLeast"/>
        </w:trPr>
        <w:tc>
          <w:tcPr>
            <w:tcW w:w="868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Style w:val="10"/>
                <w:rFonts w:hint="eastAsia" w:ascii="宋体" w:hAnsi="宋体" w:eastAsia="宋体" w:cs="宋体"/>
                <w:b/>
                <w:bCs/>
                <w:spacing w:val="0"/>
                <w:sz w:val="24"/>
                <w:szCs w:val="24"/>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930" w:hRule="atLeast"/>
        </w:trPr>
        <w:tc>
          <w:tcPr>
            <w:tcW w:w="8680" w:type="dxa"/>
            <w:shd w:val="clear"/>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1、投标人应认真核对账户信息，将投标保证金汇入以上账户，并自行承担因汇错投标保证金而产生的一切后果。</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2、投标人在转账或电汇的凭证上应按照以下格式注明，以便核对：“（项目编号：</w:t>
            </w:r>
            <w:r>
              <w:rPr>
                <w:rFonts w:hint="default" w:ascii="Times New Roman" w:hAnsi="Times New Roman" w:cs="Times New Roman"/>
                <w:spacing w:val="0"/>
                <w:sz w:val="24"/>
                <w:szCs w:val="24"/>
              </w:rPr>
              <w:t>***</w:t>
            </w:r>
            <w:r>
              <w:rPr>
                <w:rFonts w:hint="eastAsia" w:ascii="宋体" w:hAnsi="宋体" w:eastAsia="宋体" w:cs="宋体"/>
                <w:spacing w:val="0"/>
                <w:sz w:val="24"/>
                <w:szCs w:val="24"/>
              </w:rPr>
              <w:t>）的投标保证金”。</w:t>
            </w:r>
          </w:p>
        </w:tc>
      </w:tr>
    </w:tbl>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480"/>
        <w:rPr>
          <w:spacing w:val="0"/>
          <w:sz w:val="24"/>
          <w:szCs w:val="24"/>
        </w:rPr>
      </w:pPr>
    </w:p>
    <w:p>
      <w:pPr>
        <w:pStyle w:val="7"/>
        <w:keepNext w:val="0"/>
        <w:keepLines w:val="0"/>
        <w:widowControl/>
        <w:suppressLineNumbers w:val="0"/>
        <w:spacing w:before="75" w:beforeAutospacing="0" w:after="75" w:afterAutospacing="0"/>
        <w:ind w:left="0" w:right="0" w:firstLine="480"/>
        <w:rPr>
          <w:spacing w:val="0"/>
          <w:sz w:val="24"/>
          <w:szCs w:val="24"/>
        </w:rPr>
      </w:pPr>
    </w:p>
    <w:p>
      <w:pPr>
        <w:pStyle w:val="7"/>
        <w:keepNext w:val="0"/>
        <w:keepLines w:val="0"/>
        <w:widowControl/>
        <w:suppressLineNumbers w:val="0"/>
        <w:spacing w:before="75" w:beforeAutospacing="0" w:after="75" w:afterAutospacing="0"/>
        <w:ind w:left="0" w:right="0" w:firstLine="480"/>
        <w:rPr>
          <w:spacing w:val="0"/>
          <w:sz w:val="24"/>
          <w:szCs w:val="24"/>
        </w:rPr>
      </w:pPr>
    </w:p>
    <w:p>
      <w:pPr>
        <w:pStyle w:val="7"/>
        <w:keepNext w:val="0"/>
        <w:keepLines w:val="0"/>
        <w:widowControl/>
        <w:suppressLineNumbers w:val="0"/>
        <w:spacing w:before="75" w:beforeAutospacing="0" w:after="75" w:afterAutospacing="0"/>
        <w:ind w:left="0" w:right="0" w:firstLine="480"/>
        <w:rPr>
          <w:spacing w:val="0"/>
          <w:sz w:val="24"/>
          <w:szCs w:val="24"/>
        </w:rPr>
      </w:pPr>
    </w:p>
    <w:p>
      <w:pPr>
        <w:pStyle w:val="7"/>
        <w:keepNext w:val="0"/>
        <w:keepLines w:val="0"/>
        <w:widowControl/>
        <w:suppressLineNumbers w:val="0"/>
        <w:spacing w:before="75" w:beforeAutospacing="0" w:after="75" w:afterAutospacing="0"/>
        <w:ind w:left="0" w:right="0" w:firstLine="480"/>
      </w:pPr>
      <w:r>
        <w:rPr>
          <w:spacing w:val="0"/>
          <w:sz w:val="24"/>
          <w:szCs w:val="24"/>
        </w:rPr>
        <w:t> </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w:t>
      </w:r>
      <w:r>
        <w:rPr>
          <w:spacing w:val="0"/>
          <w:sz w:val="24"/>
          <w:szCs w:val="24"/>
        </w:rPr>
        <w:t>2</w:t>
      </w:r>
      <w:r>
        <w:rPr>
          <w:rFonts w:hint="eastAsia" w:ascii="宋体" w:hAnsi="宋体" w:eastAsia="宋体" w:cs="宋体"/>
          <w:spacing w:val="0"/>
          <w:sz w:val="24"/>
          <w:szCs w:val="24"/>
        </w:rPr>
        <w:t>：采购标的一览表</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0" w:beforeAutospacing="0" w:after="150" w:afterAutospacing="0"/>
        <w:ind w:left="0" w:right="0"/>
        <w:jc w:val="right"/>
      </w:pPr>
      <w:r>
        <w:rPr>
          <w:rFonts w:hint="eastAsia" w:ascii="宋体" w:hAnsi="宋体" w:eastAsia="宋体" w:cs="宋体"/>
        </w:rPr>
        <w:t>金额单位：人民币元</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26"/>
        <w:gridCol w:w="410"/>
        <w:gridCol w:w="1658"/>
        <w:gridCol w:w="410"/>
        <w:gridCol w:w="826"/>
        <w:gridCol w:w="826"/>
        <w:gridCol w:w="826"/>
        <w:gridCol w:w="856"/>
        <w:gridCol w:w="857"/>
        <w:gridCol w:w="82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Header/>
        </w:trPr>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采购包</w:t>
            </w:r>
          </w:p>
        </w:tc>
        <w:tc>
          <w:tcPr>
            <w:tcW w:w="2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品目号</w:t>
            </w:r>
          </w:p>
        </w:tc>
        <w:tc>
          <w:tcPr>
            <w:tcW w:w="1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采购标的</w:t>
            </w:r>
          </w:p>
        </w:tc>
        <w:tc>
          <w:tcPr>
            <w:tcW w:w="2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允许进口</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数量</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品目号预算</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中小企业划分标准所属行业</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采购包预算</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采购包最高限价</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1</w:t>
            </w:r>
          </w:p>
        </w:tc>
        <w:tc>
          <w:tcPr>
            <w:tcW w:w="0" w:type="auto"/>
            <w:gridSpan w:val="6"/>
            <w:tcBorders>
              <w:top w:val="outset" w:color="auto" w:sz="6" w:space="0"/>
              <w:left w:val="outset" w:color="auto" w:sz="6" w:space="0"/>
              <w:bottom w:val="outset" w:color="auto" w:sz="6" w:space="0"/>
              <w:right w:val="outset" w:color="auto" w:sz="6" w:space="0"/>
            </w:tcBorders>
            <w:shd w:val="clear"/>
            <w:vAlign w:val="center"/>
          </w:tcPr>
          <w:tbl>
            <w:tblPr>
              <w:tblW w:w="5000" w:type="pct"/>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96"/>
              <w:gridCol w:w="1576"/>
              <w:gridCol w:w="256"/>
              <w:gridCol w:w="736"/>
              <w:gridCol w:w="1456"/>
              <w:gridCol w:w="405"/>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霍尔效应实验仪</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12（台）</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2,400.0000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霍尔效应测试仪</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12（台）</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56,400.0000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1-3</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示波器</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25（台）</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57,500.0000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1-4</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函数/任意波形发生器</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25（台）</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75,000.0000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1-5</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亥姆霍兹线圈磁场实验仪</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10（台）</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45,000.0000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1-6</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地磁水平分量测试仪</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20（台）</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186,000.0000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1-7</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静电场描绘仪（配AC-12静电场描绘电源）</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12（台）</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20,400.0000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1-8</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直流稳定电源</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20（台）</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20,000.0000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1-9</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旋转式电阻箱</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40（台）</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76,000.0000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1-10</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直流检流计（AC5-4）</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21（台）</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18,900.0000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1-11</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直流微安表</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20（台）</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32,000.0000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1-12</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直流指针式检流计</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20（台）</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30,000.0000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1-13</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标准电感箱</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20（台）</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18,000.0000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1-14</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模拟标准电阻器</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18（台）</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21,600.0000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1-15</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十进式电感箱</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40（台）</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48,000.0000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1-16</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十进位电容箱</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40（台）</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68,000.0000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1-17</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四端电阻器</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16（台）</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12,800.0000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1-18</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钠灯</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21（个）</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25,200.0000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1-19</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法布里泊罗标准具(塞曼效应实验配件）</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3（套）</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9,000.0000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1-20</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WZS-I偏振光实验系统</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21（台）</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163,800.0000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1-21</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弦振动实验台（含信号源、示波器）</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21（套）</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126,000.0000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1-22</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数据采集器</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15（个）</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49,500.0000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1-23</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力传感器</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20（个）</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12,000.0000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1-24</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分体式位移传感器</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20（个）</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24,000.0000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1-25</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光电门传感器</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20（个）</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11,000.0000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1-26</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多用力学轨道</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20（个）</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26,000.0000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1-27</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智能机械能守恒实验器</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20（个）</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34,000.0000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1-28</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多量程电流传感器</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20（个）</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26,600.0000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1-29</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多量程电压传感器</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20（个）</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26,600.0000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1-30</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电学实验板</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20（个）</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21,600.0000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1-31</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电阻定律实验器</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20（个）</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14,000.0000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1-32</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专业零号实芯椴木绘图板规格（L*W*H）1200*900*18mm</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40（个）</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7,200.0000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1-33</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分光计示教仪</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1（台）</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3,400.0000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1-34</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读数显微镜示教仪</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1（台）</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3,400.0000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1-35</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迈克逊干涉仪</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15（台）</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60,000.0000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1-36</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光具座及其配件</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20（套）</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40,000.0000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1-37</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光学滑块及支架</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60（套）</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120,000.0000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1-38</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测微目镜</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25（个）</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25,000.0000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1-39</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WJF数字检流计</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15（台）</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52,500.0000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1-40</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冷却法金属比热容测量实验仪</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10（台）</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67,000.0000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1-41</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液体表面张力系数测量实验仪</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20（台）</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94,000.0000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1-42</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良导体导热系数测量实验仪</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20（台）</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170,000.0000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1-43</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热学综合实验组合仪</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20（台）</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220,000.0000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1-44</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塞曼效应实验仪</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8（台）</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200,000.0000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1-45</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光速测量仪</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8（台）</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64,000.0000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1-46</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普朗克常数测试仪</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8（台）</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88,000.0000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1-47</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夫兰克-赫兹实验</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8（台）</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77,600.0000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1-48</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密立根油滴实验</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8（台）</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88,000.0000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1-49</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逸出功测定仪</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10（台）</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50,000.0000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1-50</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声光效应试验仪</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10（台）</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212,000.0000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1-51</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冉绍尔－汤森效应实验仪</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10（台）</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96,000.0000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1-52</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核磁共振仪</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8（台）</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192,000.0000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1-53</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黑体实验装置</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10（台）</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170,000.0000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1-54</w:t>
                  </w:r>
                </w:p>
              </w:tc>
              <w:tc>
                <w:tcPr>
                  <w:tcW w:w="16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全息照相实验仪</w:t>
                  </w:r>
                </w:p>
              </w:tc>
              <w:tc>
                <w:tcPr>
                  <w:tcW w:w="4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10（台）</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192,000.0000</w:t>
                  </w:r>
                </w:p>
              </w:tc>
              <w:tc>
                <w:tcPr>
                  <w:tcW w:w="8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工业</w:t>
                  </w:r>
                </w:p>
              </w:tc>
            </w:tr>
          </w:tbl>
          <w:p>
            <w:pPr>
              <w:jc w:val="cente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3649400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3649400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0</w:t>
            </w:r>
          </w:p>
        </w:tc>
      </w:tr>
    </w:tbl>
    <w:p>
      <w:pPr>
        <w:pStyle w:val="7"/>
        <w:keepNext w:val="0"/>
        <w:keepLines w:val="0"/>
        <w:widowControl/>
        <w:suppressLineNumbers w:val="0"/>
        <w:spacing w:before="75" w:beforeAutospacing="0" w:after="75" w:afterAutospacing="0"/>
        <w:ind w:left="0" w:right="0" w:firstLine="0"/>
        <w:jc w:val="center"/>
        <w:rPr>
          <w:rStyle w:val="10"/>
          <w:rFonts w:hint="eastAsia" w:ascii="宋体" w:hAnsi="宋体" w:eastAsia="宋体" w:cs="宋体"/>
          <w:b/>
          <w:bCs/>
          <w:spacing w:val="0"/>
          <w:sz w:val="31"/>
          <w:szCs w:val="31"/>
        </w:rPr>
      </w:pPr>
    </w:p>
    <w:p>
      <w:pPr>
        <w:pStyle w:val="7"/>
        <w:keepNext w:val="0"/>
        <w:keepLines w:val="0"/>
        <w:widowControl/>
        <w:suppressLineNumbers w:val="0"/>
        <w:spacing w:before="75" w:beforeAutospacing="0" w:after="75" w:afterAutospacing="0"/>
        <w:ind w:left="0" w:right="0" w:firstLine="0"/>
        <w:jc w:val="center"/>
        <w:rPr>
          <w:rStyle w:val="10"/>
          <w:rFonts w:hint="eastAsia" w:ascii="宋体" w:hAnsi="宋体" w:eastAsia="宋体" w:cs="宋体"/>
          <w:b/>
          <w:bCs/>
          <w:spacing w:val="0"/>
          <w:sz w:val="31"/>
          <w:szCs w:val="31"/>
        </w:rPr>
      </w:pPr>
    </w:p>
    <w:p>
      <w:pPr>
        <w:pStyle w:val="7"/>
        <w:keepNext w:val="0"/>
        <w:keepLines w:val="0"/>
        <w:widowControl/>
        <w:suppressLineNumbers w:val="0"/>
        <w:spacing w:before="75" w:beforeAutospacing="0" w:after="75" w:afterAutospacing="0"/>
        <w:ind w:left="0" w:right="0" w:firstLine="0"/>
        <w:jc w:val="center"/>
        <w:rPr>
          <w:rStyle w:val="10"/>
          <w:rFonts w:hint="eastAsia" w:ascii="宋体" w:hAnsi="宋体" w:eastAsia="宋体" w:cs="宋体"/>
          <w:b/>
          <w:bCs/>
          <w:spacing w:val="0"/>
          <w:sz w:val="31"/>
          <w:szCs w:val="31"/>
        </w:rPr>
      </w:pPr>
    </w:p>
    <w:p>
      <w:pPr>
        <w:pStyle w:val="7"/>
        <w:keepNext w:val="0"/>
        <w:keepLines w:val="0"/>
        <w:widowControl/>
        <w:suppressLineNumbers w:val="0"/>
        <w:spacing w:before="75" w:beforeAutospacing="0" w:after="75" w:afterAutospacing="0"/>
        <w:ind w:left="0" w:right="0" w:firstLine="0"/>
        <w:jc w:val="center"/>
        <w:rPr>
          <w:rStyle w:val="10"/>
          <w:rFonts w:hint="eastAsia" w:ascii="宋体" w:hAnsi="宋体" w:eastAsia="宋体" w:cs="宋体"/>
          <w:b/>
          <w:bCs/>
          <w:spacing w:val="0"/>
          <w:sz w:val="31"/>
          <w:szCs w:val="31"/>
        </w:rPr>
      </w:pPr>
    </w:p>
    <w:p>
      <w:pPr>
        <w:pStyle w:val="7"/>
        <w:keepNext w:val="0"/>
        <w:keepLines w:val="0"/>
        <w:widowControl/>
        <w:suppressLineNumbers w:val="0"/>
        <w:spacing w:before="75" w:beforeAutospacing="0" w:after="75" w:afterAutospacing="0"/>
        <w:ind w:left="0" w:right="0" w:firstLine="0"/>
        <w:jc w:val="center"/>
        <w:rPr>
          <w:rStyle w:val="10"/>
          <w:rFonts w:hint="eastAsia" w:ascii="宋体" w:hAnsi="宋体" w:eastAsia="宋体" w:cs="宋体"/>
          <w:b/>
          <w:bCs/>
          <w:spacing w:val="0"/>
          <w:sz w:val="31"/>
          <w:szCs w:val="31"/>
        </w:rPr>
      </w:pPr>
    </w:p>
    <w:p>
      <w:pPr>
        <w:pStyle w:val="7"/>
        <w:keepNext w:val="0"/>
        <w:keepLines w:val="0"/>
        <w:widowControl/>
        <w:suppressLineNumbers w:val="0"/>
        <w:spacing w:before="75" w:beforeAutospacing="0" w:after="75" w:afterAutospacing="0"/>
        <w:ind w:left="0" w:right="0" w:firstLine="0"/>
        <w:jc w:val="center"/>
        <w:rPr>
          <w:rStyle w:val="10"/>
          <w:rFonts w:hint="eastAsia" w:ascii="宋体" w:hAnsi="宋体" w:eastAsia="宋体" w:cs="宋体"/>
          <w:b/>
          <w:bCs/>
          <w:spacing w:val="0"/>
          <w:sz w:val="31"/>
          <w:szCs w:val="31"/>
        </w:rPr>
      </w:pPr>
    </w:p>
    <w:p>
      <w:pPr>
        <w:pStyle w:val="7"/>
        <w:keepNext w:val="0"/>
        <w:keepLines w:val="0"/>
        <w:widowControl/>
        <w:suppressLineNumbers w:val="0"/>
        <w:spacing w:before="75" w:beforeAutospacing="0" w:after="75" w:afterAutospacing="0"/>
        <w:ind w:left="0" w:right="0" w:firstLine="0"/>
        <w:jc w:val="center"/>
        <w:rPr>
          <w:rStyle w:val="10"/>
          <w:rFonts w:hint="eastAsia" w:ascii="宋体" w:hAnsi="宋体" w:eastAsia="宋体" w:cs="宋体"/>
          <w:b/>
          <w:bCs/>
          <w:spacing w:val="0"/>
          <w:sz w:val="31"/>
          <w:szCs w:val="31"/>
        </w:rPr>
      </w:pPr>
    </w:p>
    <w:p>
      <w:pPr>
        <w:pStyle w:val="7"/>
        <w:keepNext w:val="0"/>
        <w:keepLines w:val="0"/>
        <w:widowControl/>
        <w:suppressLineNumbers w:val="0"/>
        <w:spacing w:before="75" w:beforeAutospacing="0" w:after="75" w:afterAutospacing="0"/>
        <w:ind w:left="0" w:right="0" w:firstLine="0"/>
        <w:jc w:val="center"/>
        <w:rPr>
          <w:rStyle w:val="10"/>
          <w:rFonts w:hint="eastAsia" w:ascii="宋体" w:hAnsi="宋体" w:eastAsia="宋体" w:cs="宋体"/>
          <w:b/>
          <w:bCs/>
          <w:spacing w:val="0"/>
          <w:sz w:val="31"/>
          <w:szCs w:val="31"/>
        </w:rPr>
      </w:pPr>
    </w:p>
    <w:p>
      <w:pPr>
        <w:pStyle w:val="7"/>
        <w:keepNext w:val="0"/>
        <w:keepLines w:val="0"/>
        <w:widowControl/>
        <w:suppressLineNumbers w:val="0"/>
        <w:spacing w:before="75" w:beforeAutospacing="0" w:after="75" w:afterAutospacing="0"/>
        <w:ind w:left="0" w:right="0" w:firstLine="0"/>
        <w:jc w:val="center"/>
        <w:rPr>
          <w:rStyle w:val="10"/>
          <w:rFonts w:hint="eastAsia" w:ascii="宋体" w:hAnsi="宋体" w:eastAsia="宋体" w:cs="宋体"/>
          <w:b/>
          <w:bCs/>
          <w:spacing w:val="0"/>
          <w:sz w:val="31"/>
          <w:szCs w:val="31"/>
        </w:rPr>
      </w:pPr>
    </w:p>
    <w:p>
      <w:pPr>
        <w:pStyle w:val="7"/>
        <w:keepNext w:val="0"/>
        <w:keepLines w:val="0"/>
        <w:widowControl/>
        <w:suppressLineNumbers w:val="0"/>
        <w:spacing w:before="75" w:beforeAutospacing="0" w:after="75" w:afterAutospacing="0"/>
        <w:ind w:left="0" w:right="0" w:firstLine="0"/>
        <w:jc w:val="center"/>
        <w:rPr>
          <w:rStyle w:val="10"/>
          <w:rFonts w:hint="eastAsia" w:ascii="宋体" w:hAnsi="宋体" w:eastAsia="宋体" w:cs="宋体"/>
          <w:b/>
          <w:bCs/>
          <w:spacing w:val="0"/>
          <w:sz w:val="31"/>
          <w:szCs w:val="31"/>
        </w:rPr>
      </w:pPr>
    </w:p>
    <w:p>
      <w:pPr>
        <w:pStyle w:val="7"/>
        <w:keepNext w:val="0"/>
        <w:keepLines w:val="0"/>
        <w:widowControl/>
        <w:suppressLineNumbers w:val="0"/>
        <w:spacing w:before="75" w:beforeAutospacing="0" w:after="75" w:afterAutospacing="0"/>
        <w:ind w:left="0" w:right="0" w:firstLine="0"/>
        <w:jc w:val="center"/>
        <w:rPr>
          <w:rStyle w:val="10"/>
          <w:rFonts w:hint="eastAsia" w:ascii="宋体" w:hAnsi="宋体" w:eastAsia="宋体" w:cs="宋体"/>
          <w:b/>
          <w:bCs/>
          <w:spacing w:val="0"/>
          <w:sz w:val="31"/>
          <w:szCs w:val="31"/>
        </w:rPr>
      </w:pPr>
    </w:p>
    <w:p>
      <w:pPr>
        <w:pStyle w:val="7"/>
        <w:keepNext w:val="0"/>
        <w:keepLines w:val="0"/>
        <w:widowControl/>
        <w:suppressLineNumbers w:val="0"/>
        <w:spacing w:before="75" w:beforeAutospacing="0" w:after="75" w:afterAutospacing="0"/>
        <w:ind w:left="0" w:right="0" w:firstLine="0"/>
        <w:jc w:val="center"/>
        <w:rPr>
          <w:rStyle w:val="10"/>
          <w:rFonts w:hint="eastAsia" w:ascii="宋体" w:hAnsi="宋体" w:eastAsia="宋体" w:cs="宋体"/>
          <w:b/>
          <w:bCs/>
          <w:spacing w:val="0"/>
          <w:sz w:val="31"/>
          <w:szCs w:val="31"/>
        </w:rPr>
      </w:pPr>
    </w:p>
    <w:p>
      <w:pPr>
        <w:pStyle w:val="7"/>
        <w:keepNext w:val="0"/>
        <w:keepLines w:val="0"/>
        <w:widowControl/>
        <w:suppressLineNumbers w:val="0"/>
        <w:spacing w:before="75" w:beforeAutospacing="0" w:after="75" w:afterAutospacing="0"/>
        <w:ind w:left="0" w:right="0" w:firstLine="0"/>
        <w:jc w:val="center"/>
        <w:rPr>
          <w:rStyle w:val="10"/>
          <w:rFonts w:hint="eastAsia" w:ascii="宋体" w:hAnsi="宋体" w:eastAsia="宋体" w:cs="宋体"/>
          <w:b/>
          <w:bCs/>
          <w:spacing w:val="0"/>
          <w:sz w:val="31"/>
          <w:szCs w:val="31"/>
        </w:rPr>
      </w:pPr>
    </w:p>
    <w:p>
      <w:pPr>
        <w:pStyle w:val="7"/>
        <w:keepNext w:val="0"/>
        <w:keepLines w:val="0"/>
        <w:widowControl/>
        <w:suppressLineNumbers w:val="0"/>
        <w:spacing w:before="75" w:beforeAutospacing="0" w:after="75" w:afterAutospacing="0"/>
        <w:ind w:left="0" w:right="0" w:firstLine="0"/>
        <w:jc w:val="center"/>
        <w:rPr>
          <w:rStyle w:val="10"/>
          <w:rFonts w:hint="eastAsia" w:ascii="宋体" w:hAnsi="宋体" w:eastAsia="宋体" w:cs="宋体"/>
          <w:b/>
          <w:bCs/>
          <w:spacing w:val="0"/>
          <w:sz w:val="31"/>
          <w:szCs w:val="31"/>
        </w:rPr>
      </w:pPr>
    </w:p>
    <w:p>
      <w:pPr>
        <w:pStyle w:val="7"/>
        <w:keepNext w:val="0"/>
        <w:keepLines w:val="0"/>
        <w:widowControl/>
        <w:suppressLineNumbers w:val="0"/>
        <w:spacing w:before="75" w:beforeAutospacing="0" w:after="75" w:afterAutospacing="0"/>
        <w:ind w:left="0" w:right="0" w:firstLine="0"/>
        <w:jc w:val="center"/>
        <w:rPr>
          <w:rStyle w:val="10"/>
          <w:rFonts w:hint="eastAsia" w:ascii="宋体" w:hAnsi="宋体" w:eastAsia="宋体" w:cs="宋体"/>
          <w:b/>
          <w:bCs/>
          <w:spacing w:val="0"/>
          <w:sz w:val="31"/>
          <w:szCs w:val="31"/>
        </w:rPr>
      </w:pPr>
    </w:p>
    <w:p>
      <w:pPr>
        <w:pStyle w:val="7"/>
        <w:keepNext w:val="0"/>
        <w:keepLines w:val="0"/>
        <w:widowControl/>
        <w:suppressLineNumbers w:val="0"/>
        <w:spacing w:before="75" w:beforeAutospacing="0" w:after="75" w:afterAutospacing="0"/>
        <w:ind w:left="0" w:right="0" w:firstLine="0"/>
        <w:jc w:val="center"/>
        <w:rPr>
          <w:rStyle w:val="10"/>
          <w:rFonts w:hint="eastAsia" w:ascii="宋体" w:hAnsi="宋体" w:eastAsia="宋体" w:cs="宋体"/>
          <w:b/>
          <w:bCs/>
          <w:spacing w:val="0"/>
          <w:sz w:val="31"/>
          <w:szCs w:val="31"/>
        </w:rPr>
      </w:pP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bCs/>
          <w:spacing w:val="0"/>
          <w:sz w:val="31"/>
          <w:szCs w:val="31"/>
        </w:rPr>
        <w:t>第二章</w:t>
      </w:r>
      <w:r>
        <w:rPr>
          <w:rStyle w:val="10"/>
          <w:b/>
          <w:bCs/>
          <w:spacing w:val="0"/>
          <w:sz w:val="31"/>
          <w:szCs w:val="31"/>
        </w:rPr>
        <w:t>   </w:t>
      </w:r>
      <w:r>
        <w:rPr>
          <w:rStyle w:val="10"/>
          <w:rFonts w:hint="eastAsia" w:ascii="宋体" w:hAnsi="宋体" w:eastAsia="宋体" w:cs="宋体"/>
          <w:b/>
          <w:bCs/>
          <w:spacing w:val="0"/>
          <w:sz w:val="31"/>
          <w:szCs w:val="31"/>
        </w:rPr>
        <w:t>投标人须知前附表（表1、</w:t>
      </w:r>
      <w:r>
        <w:rPr>
          <w:rStyle w:val="10"/>
          <w:rFonts w:hint="default" w:ascii="Times New Roman" w:hAnsi="Times New Roman" w:cs="Times New Roman"/>
          <w:b/>
          <w:bCs/>
          <w:spacing w:val="0"/>
          <w:sz w:val="31"/>
          <w:szCs w:val="31"/>
        </w:rPr>
        <w:t>2</w:t>
      </w:r>
      <w:r>
        <w:rPr>
          <w:rStyle w:val="10"/>
          <w:rFonts w:hint="eastAsia" w:ascii="宋体" w:hAnsi="宋体" w:eastAsia="宋体" w:cs="宋体"/>
          <w:b/>
          <w:bCs/>
          <w:spacing w:val="0"/>
          <w:sz w:val="31"/>
          <w:szCs w:val="31"/>
        </w:rPr>
        <w:t>）</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240" w:afterAutospacing="0"/>
        <w:ind w:left="0" w:right="0" w:firstLine="0"/>
        <w:jc w:val="center"/>
      </w:pPr>
      <w:r>
        <w:rPr>
          <w:rStyle w:val="10"/>
          <w:rFonts w:hint="eastAsia" w:ascii="宋体" w:hAnsi="宋体" w:eastAsia="宋体" w:cs="宋体"/>
          <w:b/>
          <w:bCs/>
        </w:rPr>
        <w:t>一、投标人须知前附表1</w:t>
      </w:r>
    </w:p>
    <w:tbl>
      <w:tblP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557"/>
        <w:gridCol w:w="1353"/>
        <w:gridCol w:w="6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0" w:type="auto"/>
            <w:gridSpan w:val="3"/>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Style w:val="10"/>
                <w:rFonts w:hint="eastAsia" w:ascii="宋体" w:hAnsi="宋体" w:eastAsia="宋体" w:cs="宋体"/>
                <w:b/>
                <w:bCs/>
                <w:spacing w:val="0"/>
                <w:sz w:val="24"/>
                <w:szCs w:val="24"/>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0" w:type="auto"/>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项号</w:t>
            </w:r>
          </w:p>
        </w:tc>
        <w:tc>
          <w:tcPr>
            <w:tcW w:w="0" w:type="auto"/>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招标文件</w:t>
            </w:r>
          </w:p>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（第三章）</w:t>
            </w:r>
          </w:p>
        </w:tc>
        <w:tc>
          <w:tcPr>
            <w:tcW w:w="0" w:type="auto"/>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c>
          <w:tcPr>
            <w:tcW w:w="0" w:type="auto"/>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0" w:type="auto"/>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6.1</w:t>
            </w:r>
          </w:p>
        </w:tc>
        <w:tc>
          <w:tcPr>
            <w:tcW w:w="0" w:type="auto"/>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Style w:val="10"/>
                <w:rFonts w:hint="eastAsia" w:ascii="宋体" w:hAnsi="宋体" w:eastAsia="宋体" w:cs="宋体"/>
                <w:b/>
                <w:bCs/>
                <w:spacing w:val="0"/>
                <w:sz w:val="24"/>
                <w:szCs w:val="24"/>
              </w:rPr>
              <w:t>是否组织现场考察或召开开标前答疑会：</w:t>
            </w:r>
            <w:r>
              <w:rPr>
                <w:rFonts w:hint="eastAsia" w:ascii="宋体" w:hAnsi="宋体" w:eastAsia="宋体" w:cs="宋体"/>
                <w:spacing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c>
          <w:tcPr>
            <w:tcW w:w="0" w:type="auto"/>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2</w:t>
            </w:r>
          </w:p>
        </w:tc>
        <w:tc>
          <w:tcPr>
            <w:tcW w:w="0" w:type="auto"/>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10.4</w:t>
            </w:r>
          </w:p>
        </w:tc>
        <w:tc>
          <w:tcPr>
            <w:tcW w:w="0" w:type="auto"/>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ind w:left="0" w:right="0"/>
            </w:pPr>
            <w:r>
              <w:rPr>
                <w:rStyle w:val="10"/>
                <w:rFonts w:hint="eastAsia" w:ascii="宋体" w:hAnsi="宋体" w:eastAsia="宋体" w:cs="宋体"/>
                <w:b/>
                <w:bCs/>
                <w:spacing w:val="0"/>
                <w:sz w:val="24"/>
                <w:szCs w:val="24"/>
              </w:rPr>
              <w:t>投标文件的份数：</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（1）可读介质（光盘或</w:t>
            </w:r>
            <w:r>
              <w:rPr>
                <w:rFonts w:hint="default" w:ascii="Times New Roman" w:hAnsi="Times New Roman" w:cs="Times New Roman"/>
                <w:spacing w:val="0"/>
                <w:sz w:val="24"/>
                <w:szCs w:val="24"/>
              </w:rPr>
              <w:t>U</w:t>
            </w:r>
            <w:r>
              <w:rPr>
                <w:rFonts w:hint="eastAsia" w:ascii="宋体" w:hAnsi="宋体" w:eastAsia="宋体" w:cs="宋体"/>
                <w:spacing w:val="0"/>
                <w:sz w:val="24"/>
                <w:szCs w:val="24"/>
              </w:rPr>
              <w:t>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份：投标人应将其上传至福建省政府采购网上公开信息系统的电子投标文件在该可读介质中另存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（2）电子投标文件：详见投标人须知前附表2《关于电子招标投标活动的专门规定》。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0" w:type="auto"/>
            <w:shd w:val="clear"/>
            <w:tcMar>
              <w:top w:w="0" w:type="dxa"/>
              <w:left w:w="105" w:type="dxa"/>
              <w:bottom w:w="0" w:type="dxa"/>
              <w:right w:w="105" w:type="dxa"/>
            </w:tcMar>
            <w:vAlign w:val="center"/>
          </w:tcPr>
          <w:p>
            <w:pPr>
              <w:keepNext w:val="0"/>
              <w:keepLines w:val="0"/>
              <w:widowControl/>
              <w:suppressLineNumbers w:val="0"/>
              <w:wordWrap w:val="0"/>
              <w:jc w:val="center"/>
            </w:pPr>
            <w:r>
              <w:rPr>
                <w:rFonts w:hint="eastAsia" w:ascii="宋体" w:hAnsi="宋体" w:eastAsia="宋体" w:cs="宋体"/>
                <w:kern w:val="0"/>
                <w:sz w:val="24"/>
                <w:szCs w:val="24"/>
                <w:bdr w:val="none" w:color="auto" w:sz="0" w:space="0"/>
                <w:lang w:val="en-US" w:eastAsia="zh-CN" w:bidi="ar"/>
              </w:rPr>
              <w:t>3</w:t>
            </w:r>
          </w:p>
        </w:tc>
        <w:tc>
          <w:tcPr>
            <w:tcW w:w="0" w:type="auto"/>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10.7-（</w:t>
            </w:r>
            <w:r>
              <w:rPr>
                <w:rFonts w:hint="default" w:ascii="Times New Roman" w:hAnsi="Times New Roman" w:cs="Times New Roman"/>
                <w:spacing w:val="0"/>
                <w:sz w:val="24"/>
                <w:szCs w:val="24"/>
              </w:rPr>
              <w:t>1</w:t>
            </w:r>
            <w:r>
              <w:rPr>
                <w:rFonts w:hint="eastAsia" w:ascii="宋体" w:hAnsi="宋体" w:eastAsia="宋体" w:cs="宋体"/>
                <w:spacing w:val="0"/>
                <w:sz w:val="24"/>
                <w:szCs w:val="24"/>
              </w:rPr>
              <w:t>）</w:t>
            </w:r>
          </w:p>
        </w:tc>
        <w:tc>
          <w:tcPr>
            <w:tcW w:w="0" w:type="auto"/>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Style w:val="10"/>
                <w:rFonts w:hint="eastAsia" w:ascii="宋体" w:hAnsi="宋体" w:eastAsia="宋体" w:cs="宋体"/>
                <w:b/>
                <w:bCs/>
                <w:spacing w:val="0"/>
                <w:sz w:val="24"/>
                <w:szCs w:val="24"/>
              </w:rPr>
              <w:t>是否允许中标人将本项目的非主体、非关键性工作进行分包：</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c>
          <w:tcPr>
            <w:tcW w:w="0" w:type="auto"/>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4</w:t>
            </w:r>
          </w:p>
        </w:tc>
        <w:tc>
          <w:tcPr>
            <w:tcW w:w="0" w:type="auto"/>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10.8-（</w:t>
            </w:r>
            <w:r>
              <w:rPr>
                <w:rFonts w:ascii="Calibri" w:hAnsi="Calibri" w:cs="Calibri"/>
                <w:spacing w:val="0"/>
                <w:sz w:val="24"/>
                <w:szCs w:val="24"/>
              </w:rPr>
              <w:t>1</w:t>
            </w:r>
            <w:r>
              <w:rPr>
                <w:rFonts w:hint="eastAsia" w:ascii="宋体" w:hAnsi="宋体" w:eastAsia="宋体" w:cs="宋体"/>
                <w:spacing w:val="0"/>
                <w:sz w:val="24"/>
                <w:szCs w:val="24"/>
              </w:rPr>
              <w:t>）</w:t>
            </w:r>
          </w:p>
        </w:tc>
        <w:tc>
          <w:tcPr>
            <w:tcW w:w="0" w:type="auto"/>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Style w:val="10"/>
                <w:rFonts w:hint="eastAsia" w:ascii="宋体" w:hAnsi="宋体" w:eastAsia="宋体" w:cs="宋体"/>
                <w:b/>
                <w:bCs/>
                <w:spacing w:val="0"/>
                <w:sz w:val="24"/>
                <w:szCs w:val="24"/>
              </w:rPr>
              <w:t>投标有效期</w:t>
            </w:r>
            <w:r>
              <w:rPr>
                <w:rFonts w:hint="eastAsia" w:ascii="宋体" w:hAnsi="宋体" w:eastAsia="宋体" w:cs="宋体"/>
                <w:spacing w:val="0"/>
                <w:sz w:val="24"/>
                <w:szCs w:val="24"/>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c>
          <w:tcPr>
            <w:tcW w:w="0" w:type="auto"/>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5</w:t>
            </w:r>
          </w:p>
        </w:tc>
        <w:tc>
          <w:tcPr>
            <w:tcW w:w="0" w:type="auto"/>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12.1</w:t>
            </w:r>
          </w:p>
        </w:tc>
        <w:tc>
          <w:tcPr>
            <w:tcW w:w="0" w:type="auto"/>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本项目推荐项目包1中标候选人数为1家。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0" w:type="auto"/>
            <w:shd w:val="clear"/>
            <w:tcMar>
              <w:top w:w="75" w:type="dxa"/>
              <w:left w:w="150" w:type="dxa"/>
              <w:bottom w:w="75" w:type="dxa"/>
              <w:right w:w="150" w:type="dxa"/>
            </w:tcMar>
            <w:vAlign w:val="center"/>
          </w:tcPr>
          <w:p>
            <w:pPr>
              <w:pStyle w:val="7"/>
              <w:keepNext w:val="0"/>
              <w:keepLines w:val="0"/>
              <w:widowControl/>
              <w:suppressLineNumbers w:val="0"/>
              <w:wordWrap w:val="0"/>
              <w:spacing w:before="0" w:beforeAutospacing="0" w:after="0" w:afterAutospacing="0"/>
              <w:ind w:left="0" w:right="0" w:firstLine="0"/>
            </w:pPr>
            <w:r>
              <w:rPr>
                <w:spacing w:val="0"/>
                <w:sz w:val="24"/>
                <w:szCs w:val="24"/>
              </w:rPr>
              <w:t>  </w:t>
            </w:r>
            <w:r>
              <w:rPr>
                <w:rFonts w:hint="eastAsia" w:ascii="宋体" w:hAnsi="宋体" w:eastAsia="宋体" w:cs="宋体"/>
                <w:spacing w:val="0"/>
                <w:sz w:val="24"/>
                <w:szCs w:val="24"/>
              </w:rPr>
              <w:t>6</w:t>
            </w:r>
          </w:p>
        </w:tc>
        <w:tc>
          <w:tcPr>
            <w:tcW w:w="0" w:type="auto"/>
            <w:shd w:val="clear"/>
            <w:tcMar>
              <w:top w:w="75" w:type="dxa"/>
              <w:left w:w="150" w:type="dxa"/>
              <w:bottom w:w="75" w:type="dxa"/>
              <w:right w:w="150" w:type="dxa"/>
            </w:tcMar>
            <w:vAlign w:val="center"/>
          </w:tcPr>
          <w:p>
            <w:pPr>
              <w:pStyle w:val="7"/>
              <w:keepNext w:val="0"/>
              <w:keepLines w:val="0"/>
              <w:widowControl/>
              <w:suppressLineNumbers w:val="0"/>
              <w:wordWrap w:val="0"/>
              <w:spacing w:before="0" w:beforeAutospacing="0" w:after="0" w:afterAutospacing="0"/>
              <w:ind w:left="0" w:right="0" w:firstLine="0"/>
            </w:pPr>
            <w:r>
              <w:rPr>
                <w:spacing w:val="0"/>
                <w:sz w:val="24"/>
                <w:szCs w:val="24"/>
              </w:rPr>
              <w:t>       </w:t>
            </w:r>
            <w:r>
              <w:rPr>
                <w:rFonts w:hint="eastAsia" w:ascii="宋体" w:hAnsi="宋体" w:eastAsia="宋体" w:cs="宋体"/>
                <w:spacing w:val="0"/>
                <w:sz w:val="24"/>
                <w:szCs w:val="24"/>
              </w:rPr>
              <w:t>12.2</w:t>
            </w:r>
          </w:p>
        </w:tc>
        <w:tc>
          <w:tcPr>
            <w:tcW w:w="0" w:type="auto"/>
            <w:shd w:val="clear"/>
            <w:tcMar>
              <w:top w:w="75" w:type="dxa"/>
              <w:left w:w="150" w:type="dxa"/>
              <w:bottom w:w="75" w:type="dxa"/>
              <w:right w:w="150" w:type="dxa"/>
            </w:tcMar>
            <w:vAlign w:val="center"/>
          </w:tcPr>
          <w:p>
            <w:pPr>
              <w:pStyle w:val="7"/>
              <w:keepNext w:val="0"/>
              <w:keepLines w:val="0"/>
              <w:widowControl/>
              <w:suppressLineNumbers w:val="0"/>
              <w:wordWrap w:val="0"/>
              <w:spacing w:before="0" w:beforeAutospacing="0" w:after="0" w:afterAutospacing="0"/>
              <w:ind w:left="0" w:right="0" w:firstLine="0"/>
            </w:pPr>
            <w:r>
              <w:rPr>
                <w:rStyle w:val="10"/>
                <w:rFonts w:hint="eastAsia" w:ascii="宋体" w:hAnsi="宋体" w:eastAsia="宋体" w:cs="宋体"/>
                <w:b/>
                <w:bCs/>
                <w:spacing w:val="0"/>
                <w:sz w:val="24"/>
                <w:szCs w:val="24"/>
              </w:rPr>
              <w:t>本项目中标人的确定（以采购包为单位）：</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（1）采购人应在政府采购招投标管理办法规定的时限内确定中标人。</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（2）若出现中标候选人并列情形，则按照下列方式确定中标人：</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①招标文件规定的方式：</w:t>
            </w:r>
            <w:r>
              <w:rPr>
                <w:spacing w:val="0"/>
                <w:sz w:val="24"/>
                <w:szCs w:val="24"/>
              </w:rPr>
              <w:t>无</w:t>
            </w:r>
            <w:r>
              <w:rPr>
                <w:rFonts w:hint="eastAsia" w:ascii="宋体" w:hAnsi="宋体" w:eastAsia="宋体" w:cs="宋体"/>
                <w:spacing w:val="0"/>
                <w:sz w:val="24"/>
                <w:szCs w:val="24"/>
              </w:rPr>
              <w:t>。</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②若本款第①点规定方式为“无”，则按照下列方式确定：无。</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③若本款第①、②点规定方式均为“无”，则按照下列方式确定：随机抽取。</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（3）本项目确定的中标人家数：</w:t>
            </w:r>
            <w:r>
              <w:rPr>
                <w:rFonts w:hint="eastAsia" w:ascii="宋体" w:hAnsi="宋体" w:eastAsia="宋体" w:cs="宋体"/>
                <w:spacing w:val="0"/>
              </w:rPr>
              <w:t>本项目确定项目包1中标人数为1家；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pPr>
              <w:keepNext w:val="0"/>
              <w:keepLines w:val="0"/>
              <w:widowControl/>
              <w:suppressLineNumbers w:val="0"/>
              <w:wordWrap w:val="0"/>
              <w:jc w:val="left"/>
            </w:pPr>
            <w:r>
              <w:rPr>
                <w:rFonts w:hint="eastAsia" w:ascii="宋体" w:hAnsi="宋体" w:eastAsia="宋体" w:cs="宋体"/>
                <w:kern w:val="0"/>
                <w:sz w:val="24"/>
                <w:szCs w:val="24"/>
                <w:bdr w:val="none" w:color="auto" w:sz="0" w:space="0"/>
                <w:lang w:val="en-US" w:eastAsia="zh-CN" w:bidi="ar"/>
              </w:rPr>
              <w:t>7</w:t>
            </w:r>
          </w:p>
        </w:tc>
        <w:tc>
          <w:tcPr>
            <w:tcW w:w="0" w:type="auto"/>
            <w:shd w:val="clear"/>
            <w:tcMar>
              <w:top w:w="0" w:type="dxa"/>
              <w:left w:w="0" w:type="dxa"/>
              <w:bottom w:w="0" w:type="dxa"/>
              <w:right w:w="0" w:type="dxa"/>
            </w:tcMar>
            <w:vAlign w:val="center"/>
          </w:tcPr>
          <w:p>
            <w:pPr>
              <w:keepNext w:val="0"/>
              <w:keepLines w:val="0"/>
              <w:widowControl/>
              <w:suppressLineNumbers w:val="0"/>
              <w:wordWrap w:val="0"/>
              <w:jc w:val="left"/>
            </w:pPr>
            <w:r>
              <w:rPr>
                <w:rFonts w:hint="eastAsia" w:ascii="宋体" w:hAnsi="宋体" w:eastAsia="宋体" w:cs="宋体"/>
                <w:spacing w:val="0"/>
                <w:kern w:val="0"/>
                <w:sz w:val="24"/>
                <w:szCs w:val="24"/>
                <w:bdr w:val="none" w:color="auto" w:sz="0" w:space="0"/>
                <w:lang w:val="en-US" w:eastAsia="zh-CN" w:bidi="ar"/>
              </w:rPr>
              <w:t>13.2</w:t>
            </w:r>
          </w:p>
        </w:tc>
        <w:tc>
          <w:tcPr>
            <w:tcW w:w="0" w:type="auto"/>
            <w:shd w:val="clear"/>
            <w:tcMar>
              <w:top w:w="0" w:type="dxa"/>
              <w:left w:w="0" w:type="dxa"/>
              <w:bottom w:w="0" w:type="dxa"/>
              <w:right w:w="0" w:type="dxa"/>
            </w:tcMar>
            <w:vAlign w:val="center"/>
          </w:tcPr>
          <w:p>
            <w:pPr>
              <w:keepNext w:val="0"/>
              <w:keepLines w:val="0"/>
              <w:widowControl/>
              <w:suppressLineNumbers w:val="0"/>
              <w:wordWrap w:val="0"/>
              <w:jc w:val="left"/>
            </w:pPr>
            <w:r>
              <w:rPr>
                <w:rStyle w:val="10"/>
                <w:rFonts w:hint="eastAsia" w:ascii="宋体" w:hAnsi="宋体" w:eastAsia="宋体" w:cs="宋体"/>
                <w:b/>
                <w:bCs/>
                <w:spacing w:val="0"/>
                <w:kern w:val="0"/>
                <w:sz w:val="24"/>
                <w:szCs w:val="24"/>
                <w:bdr w:val="none" w:color="auto" w:sz="0" w:space="0"/>
                <w:lang w:val="en-US" w:eastAsia="zh-CN" w:bidi="ar"/>
              </w:rPr>
              <w:t>合同签订时限：</w:t>
            </w:r>
            <w:r>
              <w:rPr>
                <w:rFonts w:ascii="宋体" w:hAnsi="宋体" w:eastAsia="宋体" w:cs="宋体"/>
                <w:kern w:val="0"/>
                <w:sz w:val="24"/>
                <w:szCs w:val="24"/>
                <w:bdr w:val="none" w:color="auto" w:sz="0" w:space="0"/>
                <w:lang w:val="en-US" w:eastAsia="zh-CN" w:bidi="ar"/>
              </w:rPr>
              <w:t>自中标通知书发出之日起30个日历日内。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0" w:type="auto"/>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rPr>
              <w:t>8</w:t>
            </w:r>
          </w:p>
        </w:tc>
        <w:tc>
          <w:tcPr>
            <w:tcW w:w="0" w:type="auto"/>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15.1-（</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p>
        </w:tc>
        <w:tc>
          <w:tcPr>
            <w:tcW w:w="0" w:type="auto"/>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ind w:left="0" w:right="0"/>
            </w:pPr>
            <w:r>
              <w:rPr>
                <w:rStyle w:val="10"/>
                <w:rFonts w:hint="eastAsia" w:ascii="宋体" w:hAnsi="宋体" w:eastAsia="宋体" w:cs="宋体"/>
                <w:b/>
                <w:bCs/>
                <w:spacing w:val="0"/>
                <w:sz w:val="24"/>
                <w:szCs w:val="24"/>
              </w:rPr>
              <w:t>质疑函原件应采用下列方式提交：</w:t>
            </w:r>
            <w:r>
              <w:rPr>
                <w:rFonts w:hint="eastAsia" w:ascii="宋体" w:hAnsi="宋体" w:eastAsia="宋体" w:cs="宋体"/>
                <w:spacing w:val="0"/>
                <w:sz w:val="24"/>
                <w:szCs w:val="24"/>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0" w:type="auto"/>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rPr>
              <w:t>9</w:t>
            </w:r>
          </w:p>
        </w:tc>
        <w:tc>
          <w:tcPr>
            <w:tcW w:w="0" w:type="auto"/>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15.4</w:t>
            </w:r>
          </w:p>
          <w:p>
            <w:pPr>
              <w:pStyle w:val="7"/>
              <w:keepNext w:val="0"/>
              <w:keepLines w:val="0"/>
              <w:widowControl/>
              <w:suppressLineNumbers w:val="0"/>
              <w:spacing w:before="0" w:beforeAutospacing="0" w:after="0" w:afterAutospacing="0"/>
              <w:ind w:left="0" w:right="0"/>
            </w:pPr>
            <w:r>
              <w:rPr>
                <w:rFonts w:hint="default" w:ascii="Calibri" w:hAnsi="Calibri" w:cs="Calibri"/>
                <w:spacing w:val="0"/>
                <w:sz w:val="24"/>
                <w:szCs w:val="24"/>
              </w:rPr>
              <w:t> </w:t>
            </w:r>
          </w:p>
          <w:p>
            <w:pPr>
              <w:pStyle w:val="7"/>
              <w:keepNext w:val="0"/>
              <w:keepLines w:val="0"/>
              <w:widowControl/>
              <w:suppressLineNumbers w:val="0"/>
              <w:spacing w:before="0" w:beforeAutospacing="0" w:after="0" w:afterAutospacing="0"/>
              <w:ind w:left="0" w:right="0"/>
              <w:jc w:val="center"/>
            </w:pPr>
            <w:r>
              <w:rPr>
                <w:rFonts w:hint="default" w:ascii="Calibri" w:hAnsi="Calibri" w:cs="Calibri"/>
                <w:spacing w:val="0"/>
                <w:sz w:val="24"/>
                <w:szCs w:val="24"/>
              </w:rPr>
              <w:t> </w:t>
            </w:r>
          </w:p>
        </w:tc>
        <w:tc>
          <w:tcPr>
            <w:tcW w:w="0" w:type="auto"/>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ind w:left="0" w:right="0"/>
            </w:pPr>
            <w:r>
              <w:rPr>
                <w:rStyle w:val="10"/>
                <w:rFonts w:hint="eastAsia" w:ascii="宋体" w:hAnsi="宋体" w:eastAsia="宋体" w:cs="宋体"/>
                <w:b/>
                <w:bCs/>
                <w:spacing w:val="0"/>
                <w:sz w:val="24"/>
                <w:szCs w:val="24"/>
              </w:rPr>
              <w:t>招标文件的质疑</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（1）潜在投标人可在质疑时效期间内对招标文件以书面形式提出质疑。</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（2）质疑时效期间：应在依法获取招标文件之日起7个工作日内向福建省君平建设管理有限公司提出，依法获取招标文件的时间以福建省政府采购网上公开信息系统记载的为准。</w:t>
            </w:r>
          </w:p>
          <w:p>
            <w:pPr>
              <w:pStyle w:val="7"/>
              <w:keepNext w:val="0"/>
              <w:keepLines w:val="0"/>
              <w:widowControl/>
              <w:suppressLineNumbers w:val="0"/>
              <w:wordWrap w:val="0"/>
              <w:spacing w:before="0" w:beforeAutospacing="0" w:after="0" w:afterAutospacing="0"/>
              <w:ind w:left="0" w:right="0"/>
            </w:pPr>
            <w:r>
              <w:rPr>
                <w:rStyle w:val="10"/>
                <w:rFonts w:hint="eastAsia" w:ascii="宋体" w:hAnsi="宋体" w:eastAsia="宋体" w:cs="宋体"/>
                <w:b/>
                <w:bCs/>
                <w:spacing w:val="0"/>
                <w:sz w:val="24"/>
                <w:szCs w:val="24"/>
              </w:rPr>
              <w:t>※除上述规定外，对招标文件提出的质疑还应符合招标文件第三章第</w:t>
            </w:r>
            <w:r>
              <w:rPr>
                <w:rStyle w:val="10"/>
                <w:rFonts w:hint="default" w:ascii="Times New Roman" w:hAnsi="Times New Roman" w:cs="Times New Roman"/>
                <w:b/>
                <w:bCs/>
                <w:spacing w:val="0"/>
                <w:sz w:val="24"/>
                <w:szCs w:val="24"/>
              </w:rPr>
              <w:t>15.1</w:t>
            </w:r>
            <w:r>
              <w:rPr>
                <w:rStyle w:val="10"/>
                <w:rFonts w:hint="eastAsia" w:ascii="宋体" w:hAnsi="宋体" w:eastAsia="宋体" w:cs="宋体"/>
                <w:b/>
                <w:bCs/>
                <w:spacing w:val="0"/>
                <w:sz w:val="24"/>
                <w:szCs w:val="24"/>
              </w:rPr>
              <w:t>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c>
          <w:tcPr>
            <w:tcW w:w="0" w:type="auto"/>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10</w:t>
            </w:r>
          </w:p>
        </w:tc>
        <w:tc>
          <w:tcPr>
            <w:tcW w:w="0" w:type="auto"/>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16.1</w:t>
            </w:r>
          </w:p>
        </w:tc>
        <w:tc>
          <w:tcPr>
            <w:tcW w:w="0" w:type="auto"/>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Style w:val="10"/>
                <w:rFonts w:hint="eastAsia" w:ascii="宋体" w:hAnsi="宋体" w:eastAsia="宋体" w:cs="宋体"/>
                <w:b/>
                <w:bCs/>
                <w:spacing w:val="0"/>
                <w:sz w:val="24"/>
                <w:szCs w:val="24"/>
              </w:rPr>
              <w:t>监督管理部门：</w:t>
            </w:r>
            <w:r>
              <w:rPr>
                <w:rFonts w:hint="eastAsia" w:ascii="宋体" w:hAnsi="宋体" w:eastAsia="宋体" w:cs="宋体"/>
                <w:spacing w:val="0"/>
                <w:sz w:val="24"/>
                <w:szCs w:val="24"/>
              </w:rPr>
              <w:t>泉州市财政局</w:t>
            </w:r>
            <w:r>
              <w:rPr>
                <w:rStyle w:val="10"/>
                <w:rFonts w:hint="eastAsia" w:ascii="宋体" w:hAnsi="宋体" w:eastAsia="宋体" w:cs="宋体"/>
                <w:b/>
                <w:bCs/>
                <w:color w:val="337AB7"/>
                <w:spacing w:val="0"/>
                <w:sz w:val="24"/>
                <w:szCs w:val="24"/>
                <w:u w:val="none"/>
              </w:rPr>
              <w:t>（仅限依法进行政府采购的货物或服务类项目）</w:t>
            </w:r>
            <w:r>
              <w:rPr>
                <w:rFonts w:hint="eastAsia" w:ascii="宋体" w:hAnsi="宋体" w:eastAsia="宋体" w:cs="宋体"/>
                <w:spacing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0" w:type="auto"/>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11</w:t>
            </w:r>
          </w:p>
        </w:tc>
        <w:tc>
          <w:tcPr>
            <w:tcW w:w="0" w:type="auto"/>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18.1</w:t>
            </w:r>
          </w:p>
        </w:tc>
        <w:tc>
          <w:tcPr>
            <w:tcW w:w="0" w:type="auto"/>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ind w:left="0" w:right="0"/>
            </w:pPr>
            <w:r>
              <w:rPr>
                <w:rStyle w:val="10"/>
                <w:rFonts w:hint="eastAsia" w:ascii="宋体" w:hAnsi="宋体" w:eastAsia="宋体" w:cs="宋体"/>
                <w:b/>
                <w:bCs/>
                <w:spacing w:val="0"/>
                <w:sz w:val="24"/>
                <w:szCs w:val="24"/>
              </w:rPr>
              <w:t>财政部和福建省财政厅指定的政府采购信息发布媒体（以下简称：“指定媒体”）：</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（1）中国政府采购网，网址www.ccgp.gov.cn</w:t>
            </w:r>
            <w:r>
              <w:t>。</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（2）中国政府采购网福建分网（福建省政府采购网），网址zfcg.czt.fujian.gov.cn</w:t>
            </w:r>
            <w:r>
              <w:t>。</w:t>
            </w:r>
          </w:p>
          <w:p>
            <w:pPr>
              <w:pStyle w:val="7"/>
              <w:keepNext w:val="0"/>
              <w:keepLines w:val="0"/>
              <w:widowControl/>
              <w:suppressLineNumbers w:val="0"/>
              <w:wordWrap w:val="0"/>
              <w:spacing w:before="0" w:beforeAutospacing="0" w:after="0" w:afterAutospacing="0"/>
              <w:ind w:left="0" w:right="0"/>
            </w:pPr>
            <w:r>
              <w:rPr>
                <w:rStyle w:val="10"/>
                <w:rFonts w:hint="eastAsia" w:ascii="宋体" w:hAnsi="宋体" w:eastAsia="宋体" w:cs="宋体"/>
                <w:b/>
                <w:bCs/>
                <w:spacing w:val="0"/>
                <w:sz w:val="24"/>
                <w:szCs w:val="24"/>
              </w:rPr>
              <w:t>※若出现上述指定媒体信息不一致情形，应以中国政府采购网福建分网（福建省政府采购网）发布的为准。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0" w:type="auto"/>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ind w:left="0" w:right="0"/>
              <w:jc w:val="center"/>
            </w:pPr>
            <w:r>
              <w:rPr>
                <w:rFonts w:hint="eastAsia" w:ascii="宋体" w:hAnsi="宋体" w:eastAsia="宋体" w:cs="宋体"/>
                <w:spacing w:val="0"/>
                <w:sz w:val="24"/>
                <w:szCs w:val="24"/>
              </w:rPr>
              <w:t>12</w:t>
            </w:r>
          </w:p>
        </w:tc>
        <w:tc>
          <w:tcPr>
            <w:tcW w:w="0" w:type="auto"/>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19</w:t>
            </w:r>
          </w:p>
        </w:tc>
        <w:tc>
          <w:tcPr>
            <w:tcW w:w="0" w:type="auto"/>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ind w:left="0" w:right="0"/>
            </w:pPr>
            <w:r>
              <w:rPr>
                <w:rStyle w:val="10"/>
                <w:rFonts w:hint="eastAsia" w:ascii="宋体" w:hAnsi="宋体" w:eastAsia="宋体" w:cs="宋体"/>
                <w:b/>
                <w:bCs/>
                <w:spacing w:val="0"/>
                <w:sz w:val="24"/>
                <w:szCs w:val="24"/>
              </w:rPr>
              <w:t>其他事项：</w:t>
            </w:r>
          </w:p>
          <w:p>
            <w:pPr>
              <w:pStyle w:val="7"/>
              <w:keepNext w:val="0"/>
              <w:keepLines w:val="0"/>
              <w:widowControl/>
              <w:suppressLineNumbers w:val="0"/>
              <w:wordWrap w:val="0"/>
              <w:spacing w:before="0" w:beforeAutospacing="0" w:after="0" w:afterAutospacing="0"/>
              <w:ind w:left="0" w:right="0"/>
            </w:pPr>
            <w:r>
              <w:rPr>
                <w:rStyle w:val="10"/>
                <w:rFonts w:hint="eastAsia" w:ascii="宋体" w:hAnsi="宋体" w:eastAsia="宋体" w:cs="宋体"/>
                <w:b/>
                <w:bCs/>
                <w:spacing w:val="0"/>
                <w:sz w:val="24"/>
                <w:szCs w:val="24"/>
              </w:rPr>
              <w:t>(1)本项目代理服务费由</w:t>
            </w:r>
            <w:r>
              <w:rPr>
                <w:rFonts w:hint="eastAsia" w:ascii="宋体" w:hAnsi="宋体" w:eastAsia="宋体" w:cs="宋体"/>
                <w:b/>
                <w:bCs/>
                <w:spacing w:val="0"/>
                <w:sz w:val="24"/>
                <w:szCs w:val="24"/>
              </w:rPr>
              <w:t>中标人</w:t>
            </w:r>
            <w:r>
              <w:rPr>
                <w:rStyle w:val="10"/>
                <w:rFonts w:hint="eastAsia" w:ascii="宋体" w:hAnsi="宋体" w:eastAsia="宋体" w:cs="宋体"/>
                <w:b/>
                <w:bCs/>
                <w:spacing w:val="0"/>
                <w:sz w:val="24"/>
                <w:szCs w:val="24"/>
              </w:rPr>
              <w:t>支付。</w:t>
            </w:r>
            <w:r>
              <w:rPr>
                <w:rStyle w:val="10"/>
                <w:rFonts w:hint="eastAsia" w:ascii="宋体" w:hAnsi="宋体" w:eastAsia="宋体" w:cs="宋体"/>
                <w:b/>
                <w:bCs/>
                <w:spacing w:val="0"/>
                <w:sz w:val="24"/>
                <w:szCs w:val="24"/>
              </w:rPr>
              <w:br w:type="textWrapping"/>
            </w:r>
            <w:r>
              <w:rPr>
                <w:rStyle w:val="10"/>
                <w:rFonts w:hint="eastAsia" w:ascii="宋体" w:hAnsi="宋体" w:eastAsia="宋体" w:cs="宋体"/>
                <w:b/>
                <w:bCs/>
                <w:spacing w:val="0"/>
                <w:sz w:val="24"/>
                <w:szCs w:val="24"/>
              </w:rPr>
              <w:t>(2)其他：</w:t>
            </w:r>
            <w:r>
              <w:rPr>
                <w:rFonts w:hint="eastAsia" w:ascii="宋体" w:hAnsi="宋体" w:eastAsia="宋体" w:cs="宋体"/>
                <w:b/>
                <w:bCs/>
                <w:spacing w:val="0"/>
                <w:sz w:val="24"/>
                <w:szCs w:val="24"/>
              </w:rPr>
              <w:t>【与招标文件其它表述存在矛盾的，以下述条款为准】：1、说明：因疫情影响享受缓缴或免缴社保、税款的企业，无法提供相关社保、税收缴纳证明材料的，提供有关情况说明视同社保、税收缴纳证明材料提交完整。2、开标后，如个别供应商开标报价明显低于其它合格供应商报价的，根据系统自动预警提示，评标时，评委会有可能会对价格合理性进行评估。根据《政府采购货物和服务招标投标管理办法》87号令第六十条的规定要求投标人在评标现场合理的时间内（一般在接到通知的半小时内）提供书面说明，必要时还应要求其一并提交有关证明材料；投标人不能证明其报价合理性的，评标委员会应将其作为投标无效处理。建议投标人提前评估其报价的合理性，提早准备相应材料，以便出现上述情形时能在规定时间内提供。3、投标人应根据第七章投标文件格式制作投标文件【投标分项报价表除外，该表可根据项目特点或招标文件第五章报价要求（如有）制作】，否则不符之处将被视为不满足（涉及资格、实质性条款的按无效投标处理；涉及价格评审优惠的，不予认定；涉及评分的相应评分项不得分）。招标文件有不同表述的以本条为准。4、质疑受理的其它要求： ①、质疑人线下提交书面质疑的，质疑书还应包括：a、质疑人已在福建省政府采购网上公开信息系统上依法获取招标文件的证明文件（体现查看时间或获取招标文件时间，该时间以福建省政府采购网上公开信息系统记载为准），否则将不被认定为潜在投标人；b、质疑人为法人或其他组织的，质疑函需逐页加盖质疑人单位公章；若本项目接受自然人投标且质疑人为自然人的，质疑函需质疑人本人逐页签名。②、在法定质疑期内供应商须一次性提出针对同一采购程序环节的质疑，二（多）次质疑不予受理，采购代理机构或采购人只针对第一次有效质疑进行答复。③、投标人对本项目招标文件有任何疑议或不认同之处，需在法定时间内按规定以书面方式【接收地点为：泉州市丰泽区坪山路255号泉州理工学院产学研园区思恩楼5楼D区（电话：0595-22556818、邮箱：fjjp27196988@163.com)】提出质疑，否则视为投标人接受招标文件的规定。投标人可自行到中国政府采购网，网 址http://www.ccgp.gov.cn下载专区下载质疑范本。5、本项目代理服务费收取标准及收取方式：本项目的招标代理服务费由中标人支付,依据下列收费标准（差额定率累进法）计算，中标金额（万元）：100以下收取比例：1.5%；中标金额（万元）：100-500收取比例：1.1%。代理服务费缴交账户: 开户名：福建省君平建设管理有限公司,开户银行：中国农业银行永春县支行，银行账号：13570101040013126。6、发布结果公告后，我司将通过电子邮件方式向参与本项目的所有未中标供应商发送评审结果通知书，请各投标人自行登录各自投标文件所附投标函中所预留的电子邮箱查看。各供应商投标文件所附投标函中未填写或未正确填写有效电子邮箱的，自行承担不利后果。7、特别提醒：根据《关于进一步做好新冠肺炎疫情常态化下举办政府采购活动疫情防控工作的通知》闽财购函〔2021〕7号的精神，所有参与政府采购活动的人员要主动向政府采购活动组织方报告14天内个人去向及身体健康状况，主动测量体温并出示本人健康码，保持安全社交距离，全程佩戴口罩；涉及中、高风险地区的人员，应符合来(返)泉的疫情防控要求，如持有本人48小时内核酸检测阴性结果的报告单等（以开标前本项目开标场所所在地疫情防控主管部门最新规定为准，各投标人务必及时关注），由此造成投标人相关人员无法进入开标或评标现场的不利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c>
          <w:tcPr>
            <w:tcW w:w="0" w:type="auto"/>
            <w:gridSpan w:val="2"/>
            <w:shd w:val="clear"/>
            <w:tcMar>
              <w:top w:w="75" w:type="dxa"/>
              <w:left w:w="150" w:type="dxa"/>
              <w:bottom w:w="75" w:type="dxa"/>
              <w:right w:w="150" w:type="dxa"/>
            </w:tcMar>
            <w:vAlign w:val="center"/>
          </w:tcPr>
          <w:p>
            <w:pPr>
              <w:pStyle w:val="7"/>
              <w:keepNext w:val="0"/>
              <w:keepLines w:val="0"/>
              <w:widowControl/>
              <w:suppressLineNumbers w:val="0"/>
              <w:spacing w:before="0" w:beforeAutospacing="0" w:after="0" w:afterAutospacing="0"/>
              <w:ind w:left="0" w:right="0" w:firstLine="0"/>
            </w:pPr>
            <w:r>
              <w:rPr>
                <w:rFonts w:hint="eastAsia" w:ascii="宋体" w:hAnsi="宋体" w:eastAsia="宋体" w:cs="宋体"/>
                <w:spacing w:val="0"/>
                <w:sz w:val="24"/>
                <w:szCs w:val="24"/>
              </w:rPr>
              <w:t>     备注</w:t>
            </w:r>
          </w:p>
        </w:tc>
        <w:tc>
          <w:tcPr>
            <w:tcW w:w="0" w:type="auto"/>
            <w:shd w:val="clear"/>
            <w:tcMar>
              <w:top w:w="75" w:type="dxa"/>
              <w:left w:w="150" w:type="dxa"/>
              <w:bottom w:w="75" w:type="dxa"/>
              <w:right w:w="150" w:type="dxa"/>
            </w:tcMar>
            <w:vAlign w:val="center"/>
          </w:tcPr>
          <w:p>
            <w:pPr>
              <w:pStyle w:val="7"/>
              <w:keepNext w:val="0"/>
              <w:keepLines w:val="0"/>
              <w:widowControl/>
              <w:suppressLineNumbers w:val="0"/>
              <w:wordWrap w:val="0"/>
              <w:spacing w:before="0" w:beforeAutospacing="0" w:after="0" w:afterAutospacing="0"/>
              <w:ind w:left="0" w:right="0" w:firstLine="0"/>
            </w:pPr>
            <w:r>
              <w:rPr>
                <w:rStyle w:val="10"/>
                <w:rFonts w:hint="eastAsia" w:ascii="宋体" w:hAnsi="宋体" w:eastAsia="宋体" w:cs="宋体"/>
                <w:b/>
                <w:bCs/>
                <w:spacing w:val="0"/>
                <w:sz w:val="24"/>
                <w:szCs w:val="24"/>
              </w:rPr>
              <w:t>后有投标人须知前附表</w:t>
            </w:r>
            <w:r>
              <w:rPr>
                <w:rStyle w:val="10"/>
                <w:rFonts w:hint="default" w:ascii="Times New Roman" w:hAnsi="Times New Roman" w:cs="Times New Roman"/>
                <w:b/>
                <w:bCs/>
                <w:spacing w:val="0"/>
                <w:sz w:val="24"/>
                <w:szCs w:val="24"/>
              </w:rPr>
              <w:t>2</w:t>
            </w:r>
            <w:r>
              <w:rPr>
                <w:rStyle w:val="10"/>
                <w:rFonts w:hint="eastAsia" w:ascii="宋体" w:hAnsi="宋体" w:eastAsia="宋体" w:cs="宋体"/>
                <w:b/>
                <w:bCs/>
                <w:spacing w:val="0"/>
                <w:sz w:val="24"/>
                <w:szCs w:val="24"/>
              </w:rPr>
              <w:t>，请勿遗漏。</w:t>
            </w:r>
          </w:p>
        </w:tc>
      </w:tr>
    </w:tbl>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rPr>
          <w:spacing w:val="0"/>
          <w:sz w:val="24"/>
          <w:szCs w:val="24"/>
        </w:rPr>
      </w:pPr>
      <w:r>
        <w:rPr>
          <w:spacing w:val="0"/>
          <w:sz w:val="24"/>
          <w:szCs w:val="24"/>
        </w:rPr>
        <w:t> </w:t>
      </w:r>
    </w:p>
    <w:p>
      <w:pPr>
        <w:pStyle w:val="7"/>
        <w:keepNext w:val="0"/>
        <w:keepLines w:val="0"/>
        <w:widowControl/>
        <w:suppressLineNumbers w:val="0"/>
        <w:spacing w:before="75" w:beforeAutospacing="0" w:after="75" w:afterAutospacing="0"/>
        <w:ind w:left="0" w:right="0" w:firstLine="0"/>
        <w:rPr>
          <w:spacing w:val="0"/>
          <w:sz w:val="24"/>
          <w:szCs w:val="24"/>
        </w:rPr>
      </w:pPr>
    </w:p>
    <w:p>
      <w:pPr>
        <w:pStyle w:val="7"/>
        <w:keepNext w:val="0"/>
        <w:keepLines w:val="0"/>
        <w:widowControl/>
        <w:suppressLineNumbers w:val="0"/>
        <w:spacing w:before="75" w:beforeAutospacing="0" w:after="75" w:afterAutospacing="0"/>
        <w:ind w:left="0" w:right="0" w:firstLine="0"/>
        <w:rPr>
          <w:spacing w:val="0"/>
          <w:sz w:val="24"/>
          <w:szCs w:val="24"/>
        </w:rPr>
      </w:pPr>
    </w:p>
    <w:p>
      <w:pPr>
        <w:pStyle w:val="7"/>
        <w:keepNext w:val="0"/>
        <w:keepLines w:val="0"/>
        <w:widowControl/>
        <w:suppressLineNumbers w:val="0"/>
        <w:spacing w:before="75" w:beforeAutospacing="0" w:after="75" w:afterAutospacing="0"/>
        <w:ind w:left="0" w:right="0" w:firstLine="0"/>
        <w:rPr>
          <w:spacing w:val="0"/>
          <w:sz w:val="24"/>
          <w:szCs w:val="24"/>
        </w:rPr>
      </w:pPr>
    </w:p>
    <w:p>
      <w:pPr>
        <w:pStyle w:val="7"/>
        <w:keepNext w:val="0"/>
        <w:keepLines w:val="0"/>
        <w:widowControl/>
        <w:suppressLineNumbers w:val="0"/>
        <w:spacing w:before="75" w:beforeAutospacing="0" w:after="75" w:afterAutospacing="0"/>
        <w:ind w:left="0" w:right="0" w:firstLine="0"/>
        <w:rPr>
          <w:spacing w:val="0"/>
          <w:sz w:val="24"/>
          <w:szCs w:val="24"/>
        </w:rPr>
      </w:pPr>
    </w:p>
    <w:p>
      <w:pPr>
        <w:pStyle w:val="7"/>
        <w:keepNext w:val="0"/>
        <w:keepLines w:val="0"/>
        <w:widowControl/>
        <w:suppressLineNumbers w:val="0"/>
        <w:spacing w:before="75" w:beforeAutospacing="0" w:after="75" w:afterAutospacing="0"/>
        <w:ind w:left="0" w:right="0" w:firstLine="0"/>
        <w:rPr>
          <w:spacing w:val="0"/>
          <w:sz w:val="24"/>
          <w:szCs w:val="24"/>
        </w:rPr>
      </w:pPr>
    </w:p>
    <w:p>
      <w:pPr>
        <w:pStyle w:val="7"/>
        <w:keepNext w:val="0"/>
        <w:keepLines w:val="0"/>
        <w:widowControl/>
        <w:suppressLineNumbers w:val="0"/>
        <w:spacing w:before="75" w:beforeAutospacing="0" w:after="75" w:afterAutospacing="0"/>
        <w:ind w:left="0" w:right="0" w:firstLine="0"/>
        <w:rPr>
          <w:spacing w:val="0"/>
          <w:sz w:val="24"/>
          <w:szCs w:val="24"/>
        </w:rPr>
      </w:pPr>
    </w:p>
    <w:p>
      <w:pPr>
        <w:pStyle w:val="7"/>
        <w:keepNext w:val="0"/>
        <w:keepLines w:val="0"/>
        <w:widowControl/>
        <w:suppressLineNumbers w:val="0"/>
        <w:spacing w:before="75" w:beforeAutospacing="0" w:after="75" w:afterAutospacing="0"/>
        <w:ind w:left="0" w:right="0" w:firstLine="0"/>
        <w:rPr>
          <w:spacing w:val="0"/>
          <w:sz w:val="24"/>
          <w:szCs w:val="24"/>
        </w:rPr>
      </w:pPr>
    </w:p>
    <w:p>
      <w:pPr>
        <w:pStyle w:val="7"/>
        <w:keepNext w:val="0"/>
        <w:keepLines w:val="0"/>
        <w:widowControl/>
        <w:suppressLineNumbers w:val="0"/>
        <w:spacing w:before="75" w:beforeAutospacing="0" w:after="75" w:afterAutospacing="0"/>
        <w:ind w:left="0" w:right="0" w:firstLine="0"/>
        <w:rPr>
          <w:spacing w:val="0"/>
          <w:sz w:val="24"/>
          <w:szCs w:val="24"/>
        </w:rPr>
      </w:pPr>
    </w:p>
    <w:p>
      <w:pPr>
        <w:pStyle w:val="7"/>
        <w:keepNext w:val="0"/>
        <w:keepLines w:val="0"/>
        <w:widowControl/>
        <w:suppressLineNumbers w:val="0"/>
        <w:spacing w:before="75" w:beforeAutospacing="0" w:after="75" w:afterAutospacing="0"/>
        <w:ind w:left="0" w:right="0" w:firstLine="0"/>
        <w:rPr>
          <w:spacing w:val="0"/>
          <w:sz w:val="24"/>
          <w:szCs w:val="24"/>
        </w:rPr>
      </w:pPr>
    </w:p>
    <w:p>
      <w:pPr>
        <w:pStyle w:val="7"/>
        <w:keepNext w:val="0"/>
        <w:keepLines w:val="0"/>
        <w:widowControl/>
        <w:suppressLineNumbers w:val="0"/>
        <w:spacing w:before="75" w:beforeAutospacing="0" w:after="75" w:afterAutospacing="0"/>
        <w:ind w:left="0" w:right="0" w:firstLine="0"/>
        <w:rPr>
          <w:spacing w:val="0"/>
          <w:sz w:val="24"/>
          <w:szCs w:val="24"/>
        </w:rPr>
      </w:pPr>
    </w:p>
    <w:p>
      <w:pPr>
        <w:pStyle w:val="7"/>
        <w:keepNext w:val="0"/>
        <w:keepLines w:val="0"/>
        <w:widowControl/>
        <w:suppressLineNumbers w:val="0"/>
        <w:spacing w:before="75" w:beforeAutospacing="0" w:after="75" w:afterAutospacing="0"/>
        <w:ind w:left="0" w:right="0" w:firstLine="0"/>
        <w:rPr>
          <w:spacing w:val="0"/>
          <w:sz w:val="24"/>
          <w:szCs w:val="24"/>
        </w:rPr>
      </w:pPr>
    </w:p>
    <w:p>
      <w:pPr>
        <w:pStyle w:val="7"/>
        <w:keepNext w:val="0"/>
        <w:keepLines w:val="0"/>
        <w:widowControl/>
        <w:suppressLineNumbers w:val="0"/>
        <w:spacing w:before="75" w:beforeAutospacing="0" w:after="75" w:afterAutospacing="0"/>
        <w:ind w:left="0" w:right="0" w:firstLine="0"/>
        <w:rPr>
          <w:spacing w:val="0"/>
          <w:sz w:val="24"/>
          <w:szCs w:val="24"/>
        </w:rPr>
      </w:pPr>
    </w:p>
    <w:p>
      <w:pPr>
        <w:pStyle w:val="7"/>
        <w:keepNext w:val="0"/>
        <w:keepLines w:val="0"/>
        <w:widowControl/>
        <w:suppressLineNumbers w:val="0"/>
        <w:spacing w:before="75" w:beforeAutospacing="0" w:after="75" w:afterAutospacing="0"/>
        <w:ind w:left="0" w:right="0" w:firstLine="0"/>
        <w:rPr>
          <w:spacing w:val="0"/>
          <w:sz w:val="24"/>
          <w:szCs w:val="24"/>
        </w:rPr>
      </w:pPr>
    </w:p>
    <w:p>
      <w:pPr>
        <w:pStyle w:val="7"/>
        <w:keepNext w:val="0"/>
        <w:keepLines w:val="0"/>
        <w:widowControl/>
        <w:suppressLineNumbers w:val="0"/>
        <w:spacing w:before="75" w:beforeAutospacing="0" w:after="75" w:afterAutospacing="0"/>
        <w:ind w:left="0" w:right="0" w:firstLine="0"/>
        <w:rPr>
          <w:spacing w:val="0"/>
          <w:sz w:val="24"/>
          <w:szCs w:val="24"/>
        </w:rPr>
      </w:pPr>
    </w:p>
    <w:p>
      <w:pPr>
        <w:pStyle w:val="7"/>
        <w:keepNext w:val="0"/>
        <w:keepLines w:val="0"/>
        <w:widowControl/>
        <w:suppressLineNumbers w:val="0"/>
        <w:spacing w:before="75" w:beforeAutospacing="0" w:after="75" w:afterAutospacing="0"/>
        <w:ind w:left="0" w:right="0" w:firstLine="0"/>
        <w:rPr>
          <w:spacing w:val="0"/>
          <w:sz w:val="24"/>
          <w:szCs w:val="24"/>
        </w:rPr>
      </w:pPr>
    </w:p>
    <w:p>
      <w:pPr>
        <w:pStyle w:val="7"/>
        <w:keepNext w:val="0"/>
        <w:keepLines w:val="0"/>
        <w:widowControl/>
        <w:suppressLineNumbers w:val="0"/>
        <w:spacing w:before="75" w:beforeAutospacing="0" w:after="75" w:afterAutospacing="0"/>
        <w:ind w:left="0" w:right="0" w:firstLine="0"/>
        <w:rPr>
          <w:spacing w:val="0"/>
          <w:sz w:val="24"/>
          <w:szCs w:val="24"/>
        </w:rPr>
      </w:pPr>
    </w:p>
    <w:p>
      <w:pPr>
        <w:pStyle w:val="7"/>
        <w:keepNext w:val="0"/>
        <w:keepLines w:val="0"/>
        <w:widowControl/>
        <w:suppressLineNumbers w:val="0"/>
        <w:spacing w:before="75" w:beforeAutospacing="0" w:after="240" w:afterAutospacing="0"/>
        <w:ind w:left="0" w:right="0" w:firstLine="0"/>
        <w:jc w:val="center"/>
      </w:pPr>
      <w:r>
        <w:rPr>
          <w:rStyle w:val="10"/>
          <w:rFonts w:hint="eastAsia" w:ascii="宋体" w:hAnsi="宋体" w:eastAsia="宋体" w:cs="宋体"/>
          <w:b/>
          <w:bCs/>
        </w:rPr>
        <w:t>二、投标人须知前附表2</w:t>
      </w:r>
    </w:p>
    <w:tbl>
      <w:tblP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472"/>
        <w:gridCol w:w="8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11115" w:type="dxa"/>
            <w:gridSpan w:val="2"/>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Style w:val="10"/>
                <w:rFonts w:hint="eastAsia" w:ascii="宋体" w:hAnsi="宋体" w:eastAsia="宋体" w:cs="宋体"/>
                <w:b/>
                <w:bCs/>
                <w:spacing w:val="0"/>
                <w:sz w:val="24"/>
                <w:szCs w:val="24"/>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c>
          <w:tcPr>
            <w:tcW w:w="48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序号</w:t>
            </w:r>
          </w:p>
        </w:tc>
        <w:tc>
          <w:tcPr>
            <w:tcW w:w="1063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48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10635" w:type="dxa"/>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（1）电子招标投标活动的专门规定适用本项目电子招标投标活动。</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（2）将招标文件</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的内容</w:t>
            </w:r>
            <w:r>
              <w:rPr>
                <w:rStyle w:val="10"/>
                <w:rFonts w:hint="eastAsia" w:ascii="宋体" w:hAnsi="宋体" w:eastAsia="宋体" w:cs="宋体"/>
                <w:b/>
                <w:bCs/>
                <w:spacing w:val="0"/>
                <w:sz w:val="24"/>
                <w:szCs w:val="24"/>
              </w:rPr>
              <w:t>修正为</w:t>
            </w:r>
            <w:r>
              <w:rPr>
                <w:rFonts w:hint="eastAsia" w:ascii="宋体" w:hAnsi="宋体" w:eastAsia="宋体" w:cs="宋体"/>
                <w:spacing w:val="0"/>
                <w:sz w:val="24"/>
                <w:szCs w:val="24"/>
              </w:rPr>
              <w:t>下列内容：</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后适用本项目的电子招标投标活动。</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（3）将下列内容</w:t>
            </w:r>
            <w:r>
              <w:rPr>
                <w:rStyle w:val="10"/>
                <w:rFonts w:hint="eastAsia" w:ascii="宋体" w:hAnsi="宋体" w:eastAsia="宋体" w:cs="宋体"/>
                <w:b/>
                <w:bCs/>
                <w:spacing w:val="0"/>
                <w:sz w:val="24"/>
                <w:szCs w:val="24"/>
              </w:rPr>
              <w:t>增列为</w:t>
            </w:r>
            <w:r>
              <w:rPr>
                <w:rFonts w:hint="eastAsia" w:ascii="宋体" w:hAnsi="宋体" w:eastAsia="宋体" w:cs="宋体"/>
                <w:spacing w:val="0"/>
                <w:sz w:val="24"/>
                <w:szCs w:val="24"/>
              </w:rPr>
              <w:t>招标文件的组成部分（以下简称：“增列内容”）适用本项目的电子招标投标活动，若增列内容与招标文件其他章节内容有冲突，应以增列内容为准：</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①电子招标投标活动的具体操作流程以福建省政府采购网上公开信息系统设定的为准。</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②关于电子投标文件：</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a.投标人应按照福建省政府采购网上公开信息系统设定的评审节点编制电子投标文件，否则</w:t>
            </w:r>
            <w:r>
              <w:rPr>
                <w:rStyle w:val="10"/>
                <w:rFonts w:hint="eastAsia" w:ascii="宋体" w:hAnsi="宋体" w:eastAsia="宋体" w:cs="宋体"/>
                <w:b/>
                <w:bCs/>
                <w:spacing w:val="0"/>
                <w:sz w:val="24"/>
                <w:szCs w:val="24"/>
              </w:rPr>
              <w:t>资格审查小组、评标委员会将按照不利于投标人的内容进行认定。</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b.投标人应在投标截止时间前按照福建省政府采购网上公开信息系统设定的操作流程将电子投标文件</w:t>
            </w:r>
            <w:r>
              <w:rPr>
                <w:rStyle w:val="10"/>
                <w:rFonts w:hint="eastAsia" w:ascii="宋体" w:hAnsi="宋体" w:eastAsia="宋体" w:cs="宋体"/>
                <w:b/>
                <w:bCs/>
                <w:spacing w:val="0"/>
                <w:sz w:val="24"/>
                <w:szCs w:val="24"/>
                <w:u w:val="single"/>
              </w:rPr>
              <w:t>1</w:t>
            </w:r>
            <w:r>
              <w:rPr>
                <w:rFonts w:hint="eastAsia" w:ascii="宋体" w:hAnsi="宋体" w:eastAsia="宋体" w:cs="宋体"/>
                <w:spacing w:val="0"/>
                <w:sz w:val="24"/>
                <w:szCs w:val="24"/>
              </w:rPr>
              <w:t>份上传至福建省政府采购网上公开信息系统。电子投标文件的分项报价一览表、投标客户端的分项报价一览表应保持一致，并以投标客户端的分项报价一览表为准。</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③关于证明材料或资料：</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a.招标文件要求原件的，投标人在电子投标文件中可提供复印件（含扫描件），但同时应准备好原件备查</w:t>
            </w:r>
            <w:r>
              <w:rPr>
                <w:rStyle w:val="10"/>
                <w:rFonts w:hint="eastAsia" w:ascii="宋体" w:hAnsi="宋体" w:eastAsia="宋体" w:cs="宋体"/>
                <w:b/>
                <w:bCs/>
                <w:sz w:val="24"/>
                <w:szCs w:val="24"/>
              </w:rPr>
              <w:t>（未能在规定时间内提供原件核查的，将按不利于投标人进行评审）</w:t>
            </w:r>
            <w:r>
              <w:rPr>
                <w:rFonts w:hint="eastAsia" w:ascii="宋体" w:hAnsi="宋体" w:eastAsia="宋体" w:cs="宋体"/>
                <w:sz w:val="24"/>
                <w:szCs w:val="24"/>
              </w:rPr>
              <w:t>；招标文件要求复印件的，投标人在电子投标文件中提供原件、复印件（含扫描件）皆可；招标文件对原件、复印件未作要求的，投标人在电子投标文件中提供原件、复印件（含扫描件）皆可。</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b.若投标人提供注明“复印件无效”或“复印无效”的证明材料或资料，应结合上文a条款进行判定，若招标文件未要求投标人提供原件，投标人提供原件，复印件（含扫描件）均视为满足招标文件要求</w:t>
            </w:r>
            <w:r>
              <w:rPr>
                <w:rStyle w:val="10"/>
                <w:rFonts w:hint="eastAsia" w:ascii="宋体" w:hAnsi="宋体" w:eastAsia="宋体" w:cs="宋体"/>
                <w:b/>
                <w:bCs/>
                <w:sz w:val="24"/>
                <w:szCs w:val="24"/>
              </w:rPr>
              <w:t>。</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④关于“全称”、“投标人代表签字”及“加盖单位公章”：</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a.在电子投标文件中，涉及“全称”和“投标人代表签字”的内容可使用打字录入方式完成。</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b.在电子投标文件中，涉及“加盖单位公章”的内容应使用投标人的</w:t>
            </w:r>
            <w:r>
              <w:rPr>
                <w:rFonts w:hint="default" w:ascii="Calibri" w:hAnsi="Calibri" w:cs="Calibri"/>
                <w:spacing w:val="0"/>
                <w:sz w:val="24"/>
                <w:szCs w:val="24"/>
              </w:rPr>
              <w:t>CA</w:t>
            </w:r>
            <w:r>
              <w:rPr>
                <w:rFonts w:hint="eastAsia" w:ascii="宋体" w:hAnsi="宋体" w:eastAsia="宋体" w:cs="宋体"/>
                <w:spacing w:val="0"/>
                <w:sz w:val="24"/>
                <w:szCs w:val="24"/>
              </w:rPr>
              <w:t>证书完成，否则</w:t>
            </w:r>
            <w:r>
              <w:rPr>
                <w:rStyle w:val="10"/>
                <w:rFonts w:hint="eastAsia" w:ascii="宋体" w:hAnsi="宋体" w:eastAsia="宋体" w:cs="宋体"/>
                <w:b/>
                <w:bCs/>
                <w:spacing w:val="0"/>
                <w:sz w:val="24"/>
                <w:szCs w:val="24"/>
              </w:rPr>
              <w:t>投标无效。</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c.在电子投标文件中，若投标人按照本增列内容第④点第</w:t>
            </w:r>
            <w:r>
              <w:rPr>
                <w:rFonts w:hint="default" w:ascii="Calibri" w:hAnsi="Calibri" w:cs="Calibri"/>
                <w:spacing w:val="0"/>
                <w:sz w:val="24"/>
                <w:szCs w:val="24"/>
              </w:rPr>
              <w:t>b</w:t>
            </w:r>
            <w:r>
              <w:rPr>
                <w:rFonts w:hint="eastAsia" w:ascii="宋体" w:hAnsi="宋体" w:eastAsia="宋体" w:cs="宋体"/>
                <w:spacing w:val="0"/>
                <w:sz w:val="24"/>
                <w:szCs w:val="24"/>
              </w:rPr>
              <w:t>项规定加盖其单位公章，则出现无全称、或投标人代表未签字等情形，</w:t>
            </w:r>
            <w:r>
              <w:rPr>
                <w:rStyle w:val="10"/>
                <w:rFonts w:hint="eastAsia" w:ascii="宋体" w:hAnsi="宋体" w:eastAsia="宋体" w:cs="宋体"/>
                <w:b/>
                <w:bCs/>
                <w:spacing w:val="0"/>
                <w:sz w:val="24"/>
                <w:szCs w:val="24"/>
              </w:rPr>
              <w:t>不视为投标无效。</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⑤关于投标人的</w:t>
            </w:r>
            <w:r>
              <w:rPr>
                <w:rFonts w:hint="default" w:ascii="Calibri" w:hAnsi="Calibri" w:cs="Calibri"/>
                <w:spacing w:val="0"/>
                <w:sz w:val="24"/>
                <w:szCs w:val="24"/>
              </w:rPr>
              <w:t>CA</w:t>
            </w:r>
            <w:r>
              <w:rPr>
                <w:rFonts w:hint="eastAsia" w:ascii="宋体" w:hAnsi="宋体" w:eastAsia="宋体" w:cs="宋体"/>
                <w:spacing w:val="0"/>
                <w:sz w:val="24"/>
                <w:szCs w:val="24"/>
              </w:rPr>
              <w:t>证书：</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pacing w:val="0"/>
                <w:sz w:val="24"/>
                <w:szCs w:val="24"/>
              </w:rPr>
              <w:t>a.投标人的CA证书应在系统规定时间内使用CA证书进行电子投标文件的解密操作，逾期未解密的视为放弃投标。</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b.投标人的</w:t>
            </w:r>
            <w:r>
              <w:rPr>
                <w:rFonts w:hint="default" w:ascii="Calibri" w:hAnsi="Calibri" w:cs="Calibri"/>
                <w:spacing w:val="0"/>
                <w:sz w:val="24"/>
                <w:szCs w:val="24"/>
              </w:rPr>
              <w:t>CA</w:t>
            </w:r>
            <w:r>
              <w:rPr>
                <w:rFonts w:hint="eastAsia" w:ascii="宋体" w:hAnsi="宋体" w:eastAsia="宋体" w:cs="宋体"/>
                <w:spacing w:val="0"/>
                <w:sz w:val="24"/>
                <w:szCs w:val="24"/>
              </w:rPr>
              <w:t>证书可采用信封（包括但不限于：信封、档案袋、文件袋等）作为外包装进行单独包装。外包装密封、不密封皆可。</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c.投标人的</w:t>
            </w:r>
            <w:r>
              <w:rPr>
                <w:rFonts w:hint="default" w:ascii="Calibri" w:hAnsi="Calibri" w:cs="Calibri"/>
                <w:spacing w:val="0"/>
                <w:sz w:val="24"/>
                <w:szCs w:val="24"/>
              </w:rPr>
              <w:t>CA</w:t>
            </w:r>
            <w:r>
              <w:rPr>
                <w:rFonts w:hint="eastAsia" w:ascii="宋体" w:hAnsi="宋体" w:eastAsia="宋体" w:cs="宋体"/>
                <w:spacing w:val="0"/>
                <w:sz w:val="24"/>
                <w:szCs w:val="24"/>
              </w:rPr>
              <w:t>证书或外包装应标记“项目名称、项目编号、投标人的全称”等内容，以方便识别、使用。</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d.投标人的</w:t>
            </w:r>
            <w:r>
              <w:rPr>
                <w:rFonts w:hint="default" w:ascii="Calibri" w:hAnsi="Calibri" w:cs="Calibri"/>
                <w:spacing w:val="0"/>
                <w:sz w:val="24"/>
                <w:szCs w:val="24"/>
              </w:rPr>
              <w:t>CA</w:t>
            </w:r>
            <w:r>
              <w:rPr>
                <w:rFonts w:hint="eastAsia" w:ascii="宋体" w:hAnsi="宋体" w:eastAsia="宋体" w:cs="宋体"/>
                <w:spacing w:val="0"/>
                <w:sz w:val="24"/>
                <w:szCs w:val="24"/>
              </w:rPr>
              <w:t>证书应能正常、有效使用，否则产生不利后果由投标人承担责任。</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⑥关于投标截止时间过后</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a.未按招标文件规定提交投标保证金的，</w:t>
            </w:r>
            <w:r>
              <w:rPr>
                <w:rStyle w:val="10"/>
                <w:rFonts w:hint="eastAsia" w:ascii="宋体" w:hAnsi="宋体" w:eastAsia="宋体" w:cs="宋体"/>
                <w:b/>
                <w:bCs/>
                <w:spacing w:val="0"/>
                <w:sz w:val="24"/>
                <w:szCs w:val="24"/>
              </w:rPr>
              <w:t>其投标将按无效投标处理。</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b.有下列情形之一的，其</w:t>
            </w:r>
            <w:r>
              <w:rPr>
                <w:rStyle w:val="10"/>
                <w:rFonts w:hint="eastAsia" w:ascii="宋体" w:hAnsi="宋体" w:eastAsia="宋体" w:cs="宋体"/>
                <w:b/>
                <w:bCs/>
                <w:spacing w:val="0"/>
                <w:sz w:val="24"/>
                <w:szCs w:val="24"/>
              </w:rPr>
              <w:t>投标无效</w:t>
            </w:r>
            <w:r>
              <w:rPr>
                <w:rFonts w:hint="eastAsia" w:ascii="宋体" w:hAnsi="宋体" w:eastAsia="宋体" w:cs="宋体"/>
                <w:spacing w:val="0"/>
                <w:sz w:val="24"/>
                <w:szCs w:val="24"/>
              </w:rPr>
              <w:t>,其保证金不予退还：</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b1不同投标人的电子投标文件具有相同内部识别码；</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b2不同投标人的投标保证金从同一单位或个人的账户转出；</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b3投标人的投标保证金同一采购包下有其他投标人提交的投标保证金；</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b4不同投标人存在串通投标的其他情形。</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⑧其他：</w:t>
            </w:r>
            <w:r>
              <w:rPr>
                <w:spacing w:val="0"/>
                <w:sz w:val="24"/>
                <w:szCs w:val="24"/>
              </w:rPr>
              <w:t>A.根据《福建省财政厅关于电子化政府采购项目中视为串标情形认定与处理的指导意见》闽财购〔2018〕30号规定，有下列情形之一的，视为投标人串通投标，其投标无效，并书面报告本级财政部门：a1投标人上传电子投标文件被福建省政府采购网上公开信息系统投标客户端所赋予的项目内部识别码与本招标项目的其他投标人相同的； a2系统记录的编制电子投标文件使用的计算机或上传电子投标文件使用的计算机网卡 MAC 地址与本招标项目的其他投标人一致的； a3投标人上传的电子投标文件若出现使用本项目其他投标人的数字证书加密的或加盖本项目的其他投标人的电子印章的；a4不同投标人被福建省政府采购网上公开信息系统判定为串通投标的其他情形。B、潜在供应商在福建省政府采购网上公开信息系统注册报名时应录入供应商中文全称，不应使用简称、字母、符号等，否则有可能造成电子投标无法进行而导致投标失败。 C、投标人在开标现场用于解密的CA必须与制作该项目电子投标文件时所用CA为同一把CA，否则无法解密。 解密完成后，CA将退还投标人</w:t>
            </w:r>
            <w:r>
              <w:rPr>
                <w:rFonts w:hint="eastAsia" w:ascii="宋体" w:hAnsi="宋体" w:eastAsia="宋体" w:cs="宋体"/>
                <w:spacing w:val="0"/>
                <w:sz w:val="24"/>
                <w:szCs w:val="24"/>
              </w:rPr>
              <w:t>。</w:t>
            </w:r>
          </w:p>
        </w:tc>
      </w:tr>
    </w:tbl>
    <w:p>
      <w:pPr>
        <w:pStyle w:val="7"/>
        <w:keepNext w:val="0"/>
        <w:keepLines w:val="0"/>
        <w:widowControl/>
        <w:suppressLineNumbers w:val="0"/>
        <w:spacing w:before="75" w:beforeAutospacing="0" w:after="75" w:afterAutospacing="0"/>
        <w:ind w:left="0" w:right="0" w:firstLine="0"/>
        <w:rPr>
          <w:spacing w:val="0"/>
          <w:sz w:val="24"/>
          <w:szCs w:val="24"/>
        </w:rPr>
      </w:pPr>
      <w:r>
        <w:rPr>
          <w:spacing w:val="0"/>
          <w:sz w:val="24"/>
          <w:szCs w:val="24"/>
        </w:rPr>
        <w:t> </w:t>
      </w:r>
    </w:p>
    <w:p>
      <w:pPr>
        <w:pStyle w:val="7"/>
        <w:keepNext w:val="0"/>
        <w:keepLines w:val="0"/>
        <w:widowControl/>
        <w:suppressLineNumbers w:val="0"/>
        <w:spacing w:before="75" w:beforeAutospacing="0" w:after="75" w:afterAutospacing="0"/>
        <w:ind w:left="0" w:right="0" w:firstLine="0"/>
        <w:rPr>
          <w:spacing w:val="0"/>
          <w:sz w:val="24"/>
          <w:szCs w:val="24"/>
        </w:rPr>
      </w:pPr>
    </w:p>
    <w:p>
      <w:pPr>
        <w:pStyle w:val="7"/>
        <w:keepNext w:val="0"/>
        <w:keepLines w:val="0"/>
        <w:widowControl/>
        <w:suppressLineNumbers w:val="0"/>
        <w:spacing w:before="75" w:beforeAutospacing="0" w:after="75" w:afterAutospacing="0"/>
        <w:ind w:left="0" w:right="0" w:firstLine="0"/>
        <w:rPr>
          <w:spacing w:val="0"/>
          <w:sz w:val="24"/>
          <w:szCs w:val="24"/>
        </w:rPr>
      </w:pPr>
    </w:p>
    <w:p>
      <w:pPr>
        <w:pStyle w:val="7"/>
        <w:keepNext w:val="0"/>
        <w:keepLines w:val="0"/>
        <w:widowControl/>
        <w:suppressLineNumbers w:val="0"/>
        <w:spacing w:before="75" w:beforeAutospacing="0" w:after="75" w:afterAutospacing="0"/>
        <w:ind w:left="0" w:right="0" w:firstLine="0"/>
        <w:rPr>
          <w:spacing w:val="0"/>
          <w:sz w:val="24"/>
          <w:szCs w:val="24"/>
        </w:rPr>
      </w:pPr>
    </w:p>
    <w:p>
      <w:pPr>
        <w:pStyle w:val="7"/>
        <w:keepNext w:val="0"/>
        <w:keepLines w:val="0"/>
        <w:widowControl/>
        <w:suppressLineNumbers w:val="0"/>
        <w:spacing w:before="75" w:beforeAutospacing="0" w:after="75" w:afterAutospacing="0"/>
        <w:ind w:left="0" w:right="0" w:firstLine="0"/>
        <w:rPr>
          <w:spacing w:val="0"/>
          <w:sz w:val="24"/>
          <w:szCs w:val="24"/>
        </w:rPr>
      </w:pPr>
    </w:p>
    <w:p>
      <w:pPr>
        <w:pStyle w:val="7"/>
        <w:keepNext w:val="0"/>
        <w:keepLines w:val="0"/>
        <w:widowControl/>
        <w:suppressLineNumbers w:val="0"/>
        <w:spacing w:before="75" w:beforeAutospacing="0" w:after="75" w:afterAutospacing="0"/>
        <w:ind w:left="0" w:right="0" w:firstLine="0"/>
        <w:rPr>
          <w:spacing w:val="0"/>
          <w:sz w:val="24"/>
          <w:szCs w:val="24"/>
        </w:rPr>
      </w:pPr>
    </w:p>
    <w:p>
      <w:pPr>
        <w:pStyle w:val="7"/>
        <w:keepNext w:val="0"/>
        <w:keepLines w:val="0"/>
        <w:widowControl/>
        <w:suppressLineNumbers w:val="0"/>
        <w:spacing w:before="75" w:beforeAutospacing="0" w:after="75" w:afterAutospacing="0"/>
        <w:ind w:left="0" w:right="0" w:firstLine="0"/>
        <w:rPr>
          <w:spacing w:val="0"/>
          <w:sz w:val="24"/>
          <w:szCs w:val="24"/>
        </w:rPr>
      </w:pPr>
    </w:p>
    <w:p>
      <w:pPr>
        <w:pStyle w:val="7"/>
        <w:keepNext w:val="0"/>
        <w:keepLines w:val="0"/>
        <w:widowControl/>
        <w:suppressLineNumbers w:val="0"/>
        <w:spacing w:before="75" w:beforeAutospacing="0" w:after="75" w:afterAutospacing="0"/>
        <w:ind w:left="0" w:right="0" w:firstLine="0"/>
        <w:rPr>
          <w:spacing w:val="0"/>
          <w:sz w:val="24"/>
          <w:szCs w:val="24"/>
        </w:rPr>
      </w:pPr>
    </w:p>
    <w:p>
      <w:pPr>
        <w:pStyle w:val="7"/>
        <w:keepNext w:val="0"/>
        <w:keepLines w:val="0"/>
        <w:widowControl/>
        <w:suppressLineNumbers w:val="0"/>
        <w:spacing w:before="75" w:beforeAutospacing="0" w:after="75" w:afterAutospacing="0"/>
        <w:ind w:left="0" w:right="0" w:firstLine="0"/>
        <w:rPr>
          <w:spacing w:val="0"/>
          <w:sz w:val="24"/>
          <w:szCs w:val="24"/>
        </w:rPr>
      </w:pPr>
    </w:p>
    <w:p>
      <w:pPr>
        <w:pStyle w:val="7"/>
        <w:keepNext w:val="0"/>
        <w:keepLines w:val="0"/>
        <w:widowControl/>
        <w:suppressLineNumbers w:val="0"/>
        <w:spacing w:before="75" w:beforeAutospacing="0" w:after="75" w:afterAutospacing="0"/>
        <w:ind w:left="0" w:right="0" w:firstLine="0"/>
        <w:rPr>
          <w:spacing w:val="0"/>
          <w:sz w:val="24"/>
          <w:szCs w:val="24"/>
        </w:rPr>
      </w:pPr>
    </w:p>
    <w:p>
      <w:pPr>
        <w:pStyle w:val="7"/>
        <w:keepNext w:val="0"/>
        <w:keepLines w:val="0"/>
        <w:widowControl/>
        <w:suppressLineNumbers w:val="0"/>
        <w:spacing w:before="75" w:beforeAutospacing="0" w:after="75" w:afterAutospacing="0"/>
        <w:ind w:left="0" w:right="0" w:firstLine="0"/>
        <w:rPr>
          <w:spacing w:val="0"/>
          <w:sz w:val="24"/>
          <w:szCs w:val="24"/>
        </w:rPr>
      </w:pPr>
    </w:p>
    <w:p>
      <w:pPr>
        <w:pStyle w:val="7"/>
        <w:keepNext w:val="0"/>
        <w:keepLines w:val="0"/>
        <w:widowControl/>
        <w:suppressLineNumbers w:val="0"/>
        <w:spacing w:before="75" w:beforeAutospacing="0" w:after="75" w:afterAutospacing="0"/>
        <w:ind w:left="0" w:right="0" w:firstLine="0"/>
        <w:rPr>
          <w:spacing w:val="0"/>
          <w:sz w:val="24"/>
          <w:szCs w:val="24"/>
        </w:rPr>
      </w:pP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bCs/>
          <w:spacing w:val="0"/>
          <w:sz w:val="31"/>
          <w:szCs w:val="31"/>
        </w:rPr>
        <w:t>第三章   投标人须知</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bCs/>
          <w:spacing w:val="0"/>
          <w:sz w:val="24"/>
          <w:szCs w:val="24"/>
        </w:rPr>
        <w:t>一、总则</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1、适用范围</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1.1适用于招标文件载明项目的政府采购活动（以下简称：“本次采购活动”）。</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2、定义</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2.1“采购标的”指招标文件载明的需要采购的货物或服务。</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2.2“潜在投标人”指按照招标文件第一章第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条规定获取招标文件且有意向参加本项目投标的供应商。</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2.3“投标人”指按照招标文件第一章第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条规定获取招标文件并参加本项目投标的供应商。</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2.4“单位负责人”指单位法定代表人或法律、法规规定代表单位行使职权的主要负责人。</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2.5“投标人代表”指投标人的单位负责人或“单位负责人授权书”中载明的接受授权方。</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bCs/>
          <w:spacing w:val="0"/>
          <w:sz w:val="24"/>
          <w:szCs w:val="24"/>
        </w:rPr>
        <w:t>二、投标人</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3、合格投标人</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3.1一般规定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（1）投标人应遵守政府采购法及实施条例、政府采购招投标管理办法、</w:t>
      </w:r>
      <w:r>
        <w:rPr>
          <w:rFonts w:hint="eastAsia" w:ascii="宋体" w:hAnsi="宋体" w:eastAsia="宋体" w:cs="宋体"/>
        </w:rPr>
        <w:t>政府采购质疑和投诉办法及财政部、</w:t>
      </w:r>
      <w:r>
        <w:rPr>
          <w:rFonts w:hint="eastAsia" w:ascii="宋体" w:hAnsi="宋体" w:eastAsia="宋体" w:cs="宋体"/>
          <w:spacing w:val="0"/>
        </w:rPr>
        <w:t>福建省财政厅有关政府采购文件的规定，同时还应遵守有关法律、法规和规章的强制性规定。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（2）投标人的资格要求：详见招标文件第一章。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3.2若本项目接受联合体投标且投标人为联合体，则联合体各方应遵守本章第3.1条规定，同时还应遵守下列规定：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（1）联合体各方应提交联合体协议，联合体协议应符合招标文件规定。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（2）联合体各方不得再单独参加或与其他供应商另外组成联合体参加同一合同项下的投标。</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（3）联合体各方应共同与采购人签订政府采购合同，就政府采购合同约定的事项对采购人承担连带责任。  </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（5）联合体一方放弃中标的，视为联合体整体放弃中标，联合体各方承担连带责任。</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（6）如本项目不接受联合体投标而投标人为联合体的，或者本项目接受联合体投标但投标人组成的联合体不符合本章第3.2条规定的，投标无效。</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4、投标费用</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4.1除招标文件另有规定外，投标人应自行承担其参加本项目投标所涉及的一切费用。</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bCs/>
          <w:spacing w:val="0"/>
          <w:sz w:val="24"/>
          <w:szCs w:val="24"/>
        </w:rPr>
        <w:t>三、招标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5、招标文件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5.1招标文件由下述部分组成：</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（1）投标邀请</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（2）投标人须知前附表（表</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（3）投标人须知</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（4）资格审查与评标</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（5）招标内容及要求</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（6）政府采购合同（参考文本）</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（7）电子投标文件格式</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（8）按照招标文件规定作为招标文件组成部分的其他内容（若有）</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5.2招标文件的澄清或修改</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w:t>
      </w:r>
      <w:r>
        <w:rPr>
          <w:spacing w:val="0"/>
          <w:sz w:val="24"/>
          <w:szCs w:val="24"/>
          <w:u w:val="single"/>
        </w:rPr>
        <w:t>福建省君平建设管理有限公司</w:t>
      </w:r>
      <w:r>
        <w:rPr>
          <w:rFonts w:hint="eastAsia" w:ascii="宋体" w:hAnsi="宋体" w:eastAsia="宋体" w:cs="宋体"/>
          <w:spacing w:val="0"/>
          <w:sz w:val="24"/>
          <w:szCs w:val="24"/>
        </w:rPr>
        <w:t>可对已发出的招标文件进行必要的澄清或修改，但不得对招标文件载明的采购标的和投标人的资格要求进行改变。</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（2）除本章第</w:t>
      </w:r>
      <w:r>
        <w:rPr>
          <w:rFonts w:hint="default" w:ascii="Calibri" w:hAnsi="Calibri" w:cs="Calibri"/>
          <w:spacing w:val="0"/>
          <w:sz w:val="24"/>
          <w:szCs w:val="24"/>
        </w:rPr>
        <w:t>5.2</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）款规定情形外，澄清或修改的内容可能影响电子投标文件编制的，</w:t>
      </w: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将在投标截止时间至少15个日历日前，在招标文件载明的指定媒体以更正公告的形式发布澄清或修改的内容。不足</w:t>
      </w:r>
      <w:r>
        <w:rPr>
          <w:rFonts w:hint="default" w:ascii="Calibri" w:hAnsi="Calibri" w:cs="Calibri"/>
          <w:spacing w:val="0"/>
          <w:sz w:val="24"/>
          <w:szCs w:val="24"/>
        </w:rPr>
        <w:t>15</w:t>
      </w:r>
      <w:r>
        <w:rPr>
          <w:rFonts w:hint="eastAsia" w:ascii="宋体" w:hAnsi="宋体" w:eastAsia="宋体" w:cs="宋体"/>
          <w:spacing w:val="0"/>
          <w:sz w:val="24"/>
          <w:szCs w:val="24"/>
        </w:rPr>
        <w:t>个日历日的，</w:t>
      </w: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将顺延投标截止时间及开标时间，</w:t>
      </w: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和投标人受原投标截止时间及开标时间制约的所有权利和义务均延长至新的投标截止时间及开标时间。</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（3）澄清或修改的内容可能改变招标文件载明的采购标的和投标人的资格要求的，本次采购活动结束，</w:t>
      </w: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将依法组织后续采购活动（包括但不限于：重新招标、采用其他方式采购等）。</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6、现场考察或开标前答疑会</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6.1是否组织现场考察或召开开标前答疑会：详见招标文件第二章。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7、更正公告</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7.1若</w:t>
      </w: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发布更正公告，则更正公告及其所发布的内容或信息（包括但不限于：招标文件的澄清或修改、现场考察或答疑会的有关事宜等）</w:t>
      </w:r>
      <w:r>
        <w:rPr>
          <w:rStyle w:val="10"/>
          <w:rFonts w:hint="eastAsia" w:ascii="宋体" w:hAnsi="宋体" w:eastAsia="宋体" w:cs="宋体"/>
          <w:b/>
          <w:bCs/>
          <w:spacing w:val="0"/>
          <w:sz w:val="24"/>
          <w:szCs w:val="24"/>
        </w:rPr>
        <w:t>作为招标文件组成部分</w:t>
      </w:r>
      <w:r>
        <w:rPr>
          <w:rFonts w:hint="eastAsia" w:ascii="宋体" w:hAnsi="宋体" w:eastAsia="宋体" w:cs="宋体"/>
          <w:spacing w:val="0"/>
          <w:sz w:val="24"/>
          <w:szCs w:val="24"/>
        </w:rPr>
        <w:t>，对投标人具有约束力。</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7.2更正公告作为</w:t>
      </w: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通知所有潜在投标人的书面形式。</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8、终止公告</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8.1若出现因重大变故导致采购任务取消情形，</w:t>
      </w:r>
      <w:r>
        <w:rPr>
          <w:rFonts w:hint="eastAsia" w:ascii="宋体" w:hAnsi="宋体" w:eastAsia="宋体" w:cs="宋体"/>
          <w:spacing w:val="0"/>
          <w:sz w:val="24"/>
          <w:szCs w:val="24"/>
          <w:u w:val="none"/>
        </w:rPr>
        <w:t>福建省君平建设管理有限公司可终止招标并发布终止公告。</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none"/>
        </w:rPr>
        <w:t>8.2终止公告作为福建省君平建设管理有限公司</w:t>
      </w:r>
      <w:r>
        <w:rPr>
          <w:rFonts w:hint="eastAsia" w:ascii="宋体" w:hAnsi="宋体" w:eastAsia="宋体" w:cs="宋体"/>
          <w:spacing w:val="0"/>
          <w:sz w:val="24"/>
          <w:szCs w:val="24"/>
        </w:rPr>
        <w:t>通知所有潜在投标人的书面形式。</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bCs/>
          <w:spacing w:val="0"/>
          <w:sz w:val="24"/>
          <w:szCs w:val="24"/>
        </w:rPr>
        <w:t>四、投标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9、投标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9.1投标人可对招标文件载明的全部或部分采购包进行投标。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9.2投标人应对同一个采购包内的所有内容进行完整投标，否则</w:t>
      </w:r>
      <w:r>
        <w:rPr>
          <w:rStyle w:val="10"/>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9.3投标人代表只能接受一个投标人的授权参加投标，否则</w:t>
      </w:r>
      <w:r>
        <w:rPr>
          <w:rStyle w:val="10"/>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9.4单位负责人为同一人或存在直接控股、管理关系的不同供应商，不得同时参加同一合同项下的投标，否则</w:t>
      </w:r>
      <w:r>
        <w:rPr>
          <w:rStyle w:val="10"/>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9.5为本项目提供整体设计、规范编制或项目管理、监理、检测等服务的供应商，不得参加本项目除整体设计、规范编制和项目管理、监理、检测等服务外的采购活动，否则</w:t>
      </w:r>
      <w:r>
        <w:rPr>
          <w:rStyle w:val="10"/>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9.6列入失信被执行人、重大税收违法案件当事人名单、政府采购严重违法失信行为记录名单及其他不符合政府采购法第二十二条规定条件的供应商，不得参加投标，否则</w:t>
      </w:r>
      <w:r>
        <w:rPr>
          <w:rStyle w:val="10"/>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9.7有下列情形之一的，视为投标人串通投标，</w:t>
      </w:r>
      <w:r>
        <w:rPr>
          <w:rStyle w:val="10"/>
          <w:rFonts w:hint="eastAsia" w:ascii="宋体" w:hAnsi="宋体" w:eastAsia="宋体" w:cs="宋体"/>
          <w:b/>
          <w:bCs/>
          <w:spacing w:val="0"/>
          <w:sz w:val="24"/>
          <w:szCs w:val="24"/>
        </w:rPr>
        <w:t>其投标无效：</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（1）不同投标人的电子投标文件由同一单位或个人编制；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（2）不同投标人委托同一单位或个人办理投标事宜；</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（3）不同投标人的电子投标文件载明的项目管理成员或联系人员为同一人；</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（4）不同投标人的电子投标文件异常一致或投标报价呈规律性差异；</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（5）不同投标人的电子投标文件相互混装；</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（6）不同投标人的投标保证金从同一单位或个人的账户转出；</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（7）有关法律、法规和规章及招标文件规定的其他串通投标情形。</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10、电子投标文件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10.1电子投标文件的编制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（1）投标人应先仔细阅读招标文件的全部内容后，再进行电子投标文件的编制。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（2）电子投标文件应按照本章第</w:t>
      </w:r>
      <w:r>
        <w:rPr>
          <w:rFonts w:hint="default" w:ascii="Calibri" w:hAnsi="Calibri" w:cs="Calibri"/>
          <w:spacing w:val="0"/>
          <w:sz w:val="24"/>
          <w:szCs w:val="24"/>
        </w:rPr>
        <w:t>10.2</w:t>
      </w:r>
      <w:r>
        <w:rPr>
          <w:rFonts w:hint="eastAsia" w:ascii="宋体" w:hAnsi="宋体" w:eastAsia="宋体" w:cs="宋体"/>
          <w:spacing w:val="0"/>
          <w:sz w:val="24"/>
          <w:szCs w:val="24"/>
        </w:rPr>
        <w:t>条规定编制其组成部分。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（3）电子投标文件应满足招标文件提出的实质性要求和条件，并保证其所提交的全部资料是不可割离且真实、有效、准确、完整和不具有任何误导性的，否则造成不利后果由投标人承担责任。</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10.2电子投标文件由下述部分组成：</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（1）资格及资信证明部分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①投标函</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②投标人的资格及资信证明文件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③投标保证金</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（2）报价部分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②投标分项报价表</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③招标文件规定的价格扣除证明材料（若有）</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④招标文件规定的加分证明材料（若有）</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（3）技术商务部分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①标的说明一览表</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②技术和服务要求响应表</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③商务条件响应表</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④投标人提交的其他资料（若有）</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⑤招标文件规定作为电子投标文件组成部分的其他内容（若有）</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10.3电子投标文件的语言</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（1）除招标文件另有规定外，电子投标文件应使用中文文本，若有不同文本，以中文文本为准。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10.4投标文件的份数：详见招标文件第二章。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10.5电子投标文件的格式</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（1）除招标文件另有规定外，电子投标文件应使用招标文件第七章规定的格式。</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（2）除招标文件另有规定外，电子投标文件应使用不能擦去的墨料或墨水打印、书写或复印。</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（3）除招标文件另有规定外，电子投标文件应使用人民币作为计量货币。</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（4）除招标文件另有规定外，签署、盖章应遵守下列规定：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①电子投标文件应加盖投标人的单位公章。若投标人代表为单位授权的委托代理人，应提供“单位授权书”。</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②电子投标文件应没有涂改或行间插字，除非这些改动是根据</w:t>
      </w: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的指示进行的，或是为改正投标人造成的应修改的错误而进行的。若有前述改动，应按照下列规定之一对改动处进行处理：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a.投标人代表签字确认；</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b.加盖投标人的单位公章或校正章。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10.6投标报价</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（1）投标报价超出最高限价将导致</w:t>
      </w:r>
      <w:r>
        <w:rPr>
          <w:rStyle w:val="10"/>
          <w:rFonts w:hint="eastAsia" w:ascii="宋体" w:hAnsi="宋体" w:eastAsia="宋体" w:cs="宋体"/>
          <w:b/>
          <w:bCs/>
          <w:spacing w:val="0"/>
          <w:sz w:val="24"/>
          <w:szCs w:val="24"/>
        </w:rPr>
        <w:t>投标无效。</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（2）最高限价由采购人根据价格测算情况，在预算金额的额度内合理设定。最高限价不得超出预算金额。</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（3）除招标文件另有规定外，电子投标文件不能出现任何选择性的投标报价，即每一个采购包和品目号的采购标的都只能有一个投标报价。任何选择性的投标报价将导致</w:t>
      </w:r>
      <w:r>
        <w:rPr>
          <w:rStyle w:val="10"/>
          <w:rFonts w:hint="eastAsia" w:ascii="宋体" w:hAnsi="宋体" w:eastAsia="宋体" w:cs="宋体"/>
          <w:b/>
          <w:bCs/>
          <w:spacing w:val="0"/>
          <w:sz w:val="24"/>
          <w:szCs w:val="24"/>
        </w:rPr>
        <w:t>投标无效。</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10.7分包</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（1）是否允许中标人将本项目的非主体、非关键性工作进行分包：详见招标文件第二章。</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（3）招标文件允许中标人将非主体、非关键性工作进行分包的项目，有下列情形之一的，中标人不得分包：</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①电子投标文件中未载明分包承担主体；</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②电子投标文件载明的分包承担主体不具备相应资质条件；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③电子投标文件载明的分包承担主体拟再次分包；</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pacing w:val="0"/>
          <w:sz w:val="24"/>
          <w:szCs w:val="24"/>
        </w:rPr>
        <w:t>  ④享受中小企业扶持政策获得政府采购合同的，小微企业不得将合同分包给大中型企业，中型企业不得将合同分包给大型企业。</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10.8投标有效期</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（1）招标文件载明的投标有效期：详见招标文件第二章。</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（2）电子投标文件承诺的投标有效期不得少于招标文件载明的投标有效期，否则</w:t>
      </w:r>
      <w:r>
        <w:rPr>
          <w:rStyle w:val="10"/>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（3）根据本次采购活动的需要，</w:t>
      </w: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可于投标有效期届满之前书面要求投标人延长投标有效期，投标人应在</w:t>
      </w: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10.9投标保证金</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（1）投标保证金作为投标人按照招标文件规定履行相应投标责任、义务的约束及担保。</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（2）投标保证金的有效期应与电子投标文件承诺的投标有效期保持一致，否则</w:t>
      </w:r>
      <w:r>
        <w:rPr>
          <w:rStyle w:val="10"/>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（3）提交</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①投标人应从其银行账户</w:t>
      </w:r>
      <w:r>
        <w:rPr>
          <w:rStyle w:val="10"/>
          <w:rFonts w:hint="eastAsia" w:ascii="宋体" w:hAnsi="宋体" w:eastAsia="宋体" w:cs="宋体"/>
          <w:b/>
          <w:bCs/>
          <w:spacing w:val="0"/>
          <w:sz w:val="24"/>
          <w:szCs w:val="24"/>
        </w:rPr>
        <w:t>（基本存款账户）</w:t>
      </w:r>
      <w:r>
        <w:rPr>
          <w:rFonts w:hint="eastAsia" w:ascii="宋体" w:hAnsi="宋体" w:eastAsia="宋体" w:cs="宋体"/>
          <w:spacing w:val="0"/>
          <w:sz w:val="24"/>
          <w:szCs w:val="24"/>
        </w:rPr>
        <w:t>按照下列方式：</w:t>
      </w:r>
      <w:r>
        <w:rPr>
          <w:rStyle w:val="10"/>
          <w:rFonts w:hint="eastAsia" w:ascii="宋体" w:hAnsi="宋体" w:eastAsia="宋体" w:cs="宋体"/>
          <w:b/>
          <w:bCs/>
          <w:spacing w:val="0"/>
          <w:sz w:val="24"/>
          <w:szCs w:val="24"/>
        </w:rPr>
        <w:t>公对公转账方式</w:t>
      </w:r>
      <w:r>
        <w:rPr>
          <w:rFonts w:hint="eastAsia" w:ascii="宋体" w:hAnsi="宋体" w:eastAsia="宋体" w:cs="宋体"/>
          <w:spacing w:val="0"/>
          <w:sz w:val="24"/>
          <w:szCs w:val="24"/>
        </w:rPr>
        <w:t>向招标文件载明的投标保证金账户提交投标保证金，具体金额详见招标文件第一章。</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②投标保证金应于投标截止时间前到达招标文件载明的投标保证金账户，否则视为投标保证金未提交；是否到达按照下列方式认定：</w:t>
      </w:r>
      <w:r>
        <w:rPr>
          <w:rStyle w:val="10"/>
          <w:rFonts w:hint="eastAsia" w:ascii="宋体" w:hAnsi="宋体" w:eastAsia="宋体" w:cs="宋体"/>
          <w:b/>
          <w:bCs/>
          <w:spacing w:val="0"/>
          <w:sz w:val="24"/>
          <w:szCs w:val="24"/>
        </w:rPr>
        <w:t>以福建省政府采购网上公开信息系统记载的为准。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③若本项目接受联合体投标且投标人为联合体，则联合体中的牵头方应按照本章第</w:t>
      </w:r>
      <w:r>
        <w:rPr>
          <w:rFonts w:hint="default" w:ascii="Calibri" w:hAnsi="Calibri" w:cs="Calibri"/>
          <w:spacing w:val="0"/>
          <w:sz w:val="24"/>
          <w:szCs w:val="24"/>
        </w:rPr>
        <w:t>10.9</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）款第①、②点规定提交投标保证金。</w:t>
      </w:r>
    </w:p>
    <w:p>
      <w:pPr>
        <w:pStyle w:val="7"/>
        <w:keepNext w:val="0"/>
        <w:keepLines w:val="0"/>
        <w:widowControl/>
        <w:suppressLineNumbers w:val="0"/>
        <w:spacing w:before="75" w:beforeAutospacing="0" w:after="75" w:afterAutospacing="0"/>
        <w:ind w:left="0" w:right="0" w:firstLine="480"/>
      </w:pPr>
      <w:r>
        <w:rPr>
          <w:rStyle w:val="10"/>
          <w:rFonts w:hint="eastAsia" w:ascii="宋体" w:hAnsi="宋体" w:eastAsia="宋体" w:cs="宋体"/>
          <w:b/>
          <w:bCs/>
          <w:spacing w:val="0"/>
          <w:sz w:val="24"/>
          <w:szCs w:val="24"/>
        </w:rPr>
        <w:t>※除招标文件另有规定外，未按照上述规定提交投标保证金将导致资格审查不合格。</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（4）退还</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①在投标截止时间前撤回已提交的电子投标文件的投标人，其投标保证金将在</w:t>
      </w: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收到投标人书面撤回通知之日起5个工作日内退回原账户。</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②未中标人的投标保证金将在中标通知书发出之日起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③中标人的投标保证金将在政府采购合同签订之日起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个工作日内退回原账户；合同签订之日</w:t>
      </w:r>
      <w:r>
        <w:rPr>
          <w:rStyle w:val="10"/>
          <w:rFonts w:hint="eastAsia" w:ascii="宋体" w:hAnsi="宋体" w:eastAsia="宋体" w:cs="宋体"/>
          <w:b/>
          <w:bCs/>
          <w:spacing w:val="0"/>
          <w:sz w:val="24"/>
          <w:szCs w:val="24"/>
        </w:rPr>
        <w:t>以福建省政府采购网上公开信息系统记载的为准。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④终止招标的，</w:t>
      </w: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将在终止公告发布之日起5个工作日内退回已收取的投标保证金及其在银行产生的孳息。</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⑤除招标文件另有规定外，质疑或投诉涉及的投标人，若投标保证金尚未退还，则待质疑或投诉处理完毕后不计利息原额退还。</w:t>
      </w:r>
    </w:p>
    <w:p>
      <w:pPr>
        <w:pStyle w:val="7"/>
        <w:keepNext w:val="0"/>
        <w:keepLines w:val="0"/>
        <w:widowControl/>
        <w:suppressLineNumbers w:val="0"/>
        <w:spacing w:before="75" w:beforeAutospacing="0" w:after="75" w:afterAutospacing="0"/>
        <w:ind w:left="0" w:right="0" w:firstLine="480"/>
      </w:pPr>
      <w:r>
        <w:rPr>
          <w:rStyle w:val="10"/>
          <w:rFonts w:hint="eastAsia" w:ascii="宋体" w:hAnsi="宋体" w:eastAsia="宋体" w:cs="宋体"/>
          <w:b/>
          <w:bCs/>
          <w:spacing w:val="0"/>
          <w:sz w:val="24"/>
          <w:szCs w:val="24"/>
        </w:rPr>
        <w:t>※本章第</w:t>
      </w:r>
      <w:r>
        <w:rPr>
          <w:rStyle w:val="10"/>
          <w:rFonts w:hint="default" w:ascii="Calibri" w:hAnsi="Calibri" w:cs="Calibri"/>
          <w:b/>
          <w:bCs/>
          <w:spacing w:val="0"/>
          <w:sz w:val="24"/>
          <w:szCs w:val="24"/>
        </w:rPr>
        <w:t>10.9</w:t>
      </w:r>
      <w:r>
        <w:rPr>
          <w:rStyle w:val="10"/>
          <w:rFonts w:hint="eastAsia" w:ascii="宋体" w:hAnsi="宋体" w:eastAsia="宋体" w:cs="宋体"/>
          <w:b/>
          <w:bCs/>
          <w:spacing w:val="0"/>
          <w:sz w:val="24"/>
          <w:szCs w:val="24"/>
        </w:rPr>
        <w:t>条第（</w:t>
      </w:r>
      <w:r>
        <w:rPr>
          <w:rStyle w:val="10"/>
          <w:rFonts w:hint="default" w:ascii="Calibri" w:hAnsi="Calibri" w:cs="Calibri"/>
          <w:b/>
          <w:bCs/>
          <w:spacing w:val="0"/>
          <w:sz w:val="24"/>
          <w:szCs w:val="24"/>
        </w:rPr>
        <w:t>4</w:t>
      </w:r>
      <w:r>
        <w:rPr>
          <w:rStyle w:val="10"/>
          <w:rFonts w:hint="eastAsia" w:ascii="宋体" w:hAnsi="宋体" w:eastAsia="宋体" w:cs="宋体"/>
          <w:b/>
          <w:bCs/>
          <w:spacing w:val="0"/>
          <w:sz w:val="24"/>
          <w:szCs w:val="24"/>
        </w:rPr>
        <w:t>）款第①、②、③点规定的投标保证金退还时限不包括因投标人自身原因导致无法及时退还而增加的时间。</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（5）若出现本章第</w:t>
      </w:r>
      <w:r>
        <w:rPr>
          <w:rFonts w:hint="default" w:ascii="Calibri" w:hAnsi="Calibri" w:cs="Calibri"/>
          <w:spacing w:val="0"/>
          <w:sz w:val="24"/>
          <w:szCs w:val="24"/>
        </w:rPr>
        <w:t>10.8</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（6）有下列情形之一的，投标保证金将不予退还：</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①投标人串通投标；</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②投标人提供虚假材料；</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③投标人采取不正当手段诋毁、排挤其他投标人；</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④投标截止时间后，投标人在投标有效期内撤销电子投标文件；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⑤招标文件规定的其他不予退还情形；</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⑥中标人有下列情形之一的：</w:t>
      </w:r>
    </w:p>
    <w:p>
      <w:pPr>
        <w:pStyle w:val="7"/>
        <w:keepNext w:val="0"/>
        <w:keepLines w:val="0"/>
        <w:widowControl/>
        <w:suppressLineNumbers w:val="0"/>
        <w:spacing w:before="75" w:beforeAutospacing="0" w:after="75" w:afterAutospacing="0"/>
        <w:ind w:left="0" w:right="0" w:firstLine="480"/>
      </w:pPr>
      <w:r>
        <w:rPr>
          <w:rFonts w:hint="default" w:ascii="Calibri" w:hAnsi="Calibri" w:cs="Calibri"/>
          <w:spacing w:val="0"/>
          <w:sz w:val="24"/>
          <w:szCs w:val="24"/>
        </w:rPr>
        <w:t>a</w:t>
      </w:r>
      <w:r>
        <w:rPr>
          <w:rFonts w:hint="eastAsia" w:ascii="宋体" w:hAnsi="宋体" w:eastAsia="宋体" w:cs="宋体"/>
          <w:spacing w:val="0"/>
          <w:sz w:val="24"/>
          <w:szCs w:val="24"/>
        </w:rPr>
        <w:t>.除不可抗力外，因中标人自身原因未在中标通知书要求的期限内与采购人签订政府采购合同；</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b.未按照招标文件、投标文件的约定签订政府采购合同或提交履约保证金。</w:t>
      </w:r>
    </w:p>
    <w:p>
      <w:pPr>
        <w:pStyle w:val="7"/>
        <w:keepNext w:val="0"/>
        <w:keepLines w:val="0"/>
        <w:widowControl/>
        <w:suppressLineNumbers w:val="0"/>
        <w:spacing w:before="75" w:beforeAutospacing="0" w:after="75" w:afterAutospacing="0"/>
        <w:ind w:left="0" w:right="0" w:firstLine="480"/>
      </w:pPr>
      <w:r>
        <w:rPr>
          <w:rStyle w:val="10"/>
          <w:rFonts w:hint="eastAsia" w:ascii="宋体" w:hAnsi="宋体" w:eastAsia="宋体" w:cs="宋体"/>
          <w:b/>
          <w:bCs/>
          <w:spacing w:val="0"/>
          <w:sz w:val="24"/>
          <w:szCs w:val="24"/>
        </w:rPr>
        <w:t>※若上述投标保证金不予退还情形给采购人（采购代理机构）造成损失，则投标人还要承担相应的赔偿责任。</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10.10电子投标文件的提交</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（1）一个投标人只能提交一个电子投标文件，并按照招标文件第一章规定在系统上完成上传、解密操作。</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10.11电子投标文件的补充、修改或撤回</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（1）投标截止时间前，投标人可对所提交的电子投标文件进行补充、修改或撤回，并书面通知</w:t>
      </w: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（2）补充、修改的内容应按照本章第</w:t>
      </w:r>
      <w:r>
        <w:rPr>
          <w:rFonts w:hint="default" w:ascii="Calibri" w:hAnsi="Calibri" w:cs="Calibri"/>
          <w:spacing w:val="0"/>
          <w:sz w:val="24"/>
          <w:szCs w:val="24"/>
        </w:rPr>
        <w:t>10.5</w:t>
      </w:r>
      <w:r>
        <w:rPr>
          <w:rFonts w:hint="eastAsia" w:ascii="宋体" w:hAnsi="宋体" w:eastAsia="宋体" w:cs="宋体"/>
          <w:spacing w:val="0"/>
          <w:sz w:val="24"/>
          <w:szCs w:val="24"/>
        </w:rPr>
        <w:t>条第（</w:t>
      </w:r>
      <w:r>
        <w:rPr>
          <w:rFonts w:hint="default" w:ascii="Calibri" w:hAnsi="Calibri" w:cs="Calibri"/>
          <w:spacing w:val="0"/>
          <w:sz w:val="24"/>
          <w:szCs w:val="24"/>
        </w:rPr>
        <w:t>4</w:t>
      </w:r>
      <w:r>
        <w:rPr>
          <w:rFonts w:hint="eastAsia" w:ascii="宋体" w:hAnsi="宋体" w:eastAsia="宋体" w:cs="宋体"/>
          <w:spacing w:val="0"/>
          <w:sz w:val="24"/>
          <w:szCs w:val="24"/>
        </w:rPr>
        <w:t>）款规定进行签署、盖章，并按照本章第</w:t>
      </w:r>
      <w:r>
        <w:rPr>
          <w:rFonts w:hint="default" w:ascii="Calibri" w:hAnsi="Calibri" w:cs="Calibri"/>
          <w:spacing w:val="0"/>
          <w:sz w:val="24"/>
          <w:szCs w:val="24"/>
        </w:rPr>
        <w:t>10.10</w:t>
      </w:r>
      <w:r>
        <w:rPr>
          <w:rFonts w:hint="eastAsia" w:ascii="宋体" w:hAnsi="宋体" w:eastAsia="宋体" w:cs="宋体"/>
          <w:spacing w:val="0"/>
          <w:sz w:val="24"/>
          <w:szCs w:val="24"/>
        </w:rPr>
        <w:t>条规定提交，</w:t>
      </w:r>
      <w:r>
        <w:rPr>
          <w:rStyle w:val="10"/>
          <w:rFonts w:hint="eastAsia" w:ascii="宋体" w:hAnsi="宋体" w:eastAsia="宋体" w:cs="宋体"/>
          <w:b/>
          <w:bCs/>
          <w:spacing w:val="0"/>
          <w:sz w:val="24"/>
          <w:szCs w:val="24"/>
        </w:rPr>
        <w:t>否则将被拒收。</w:t>
      </w:r>
    </w:p>
    <w:p>
      <w:pPr>
        <w:pStyle w:val="7"/>
        <w:keepNext w:val="0"/>
        <w:keepLines w:val="0"/>
        <w:widowControl/>
        <w:suppressLineNumbers w:val="0"/>
        <w:spacing w:before="75" w:beforeAutospacing="0" w:after="75" w:afterAutospacing="0"/>
        <w:ind w:left="0" w:right="0" w:firstLine="480"/>
      </w:pPr>
      <w:r>
        <w:rPr>
          <w:rStyle w:val="10"/>
          <w:rFonts w:hint="eastAsia" w:ascii="宋体" w:hAnsi="宋体" w:eastAsia="宋体" w:cs="宋体"/>
          <w:b/>
          <w:bCs/>
          <w:spacing w:val="0"/>
          <w:sz w:val="24"/>
          <w:szCs w:val="24"/>
        </w:rPr>
        <w:t>※按照上述规定提交的补充、修改内容作为电子投标文件组成部分。</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10.12除招标文件另有规定外，有下列情形之一的，</w:t>
      </w:r>
      <w:r>
        <w:rPr>
          <w:rStyle w:val="10"/>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（1）电子投标文件未按照招标文件要求签署、盖章；</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（2）不符合招标文件中规定的资格要求；</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（3）投标报价超过招标文件中规定的预算金额或最高限价；</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（4）电子投标文件含有采购人不能接受的附加条件；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（5）有关法律、法规和规章及招标文件规定的其他无效情形。</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bCs/>
          <w:spacing w:val="0"/>
          <w:sz w:val="24"/>
          <w:szCs w:val="24"/>
        </w:rPr>
        <w:t>五、开标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11、开标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11.1</w:t>
      </w: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将在招标文件载明的开标时间及地点主持召开开标会，并邀请投标人参加。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11.2开标会的主持人、唱标人、记录人及其他工作人员（若有）均由</w:t>
      </w: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派出，现场监督人员（若有）可由有关方面派出。</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11.4开标会应遵守下列规定：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（3）唱标结束后，参加现场开标会的投标人代表应对开标记录进行签字确认，通过远程参与开标流程的投标人须在系统远程签章开启后，在系统规定时间内对开标结果进行签章确认。</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（5）若投标人未到开标现场参加开标会，也未通过远程参加开标会的，视同认可开标结果。</w:t>
      </w:r>
    </w:p>
    <w:p>
      <w:pPr>
        <w:pStyle w:val="7"/>
        <w:keepNext w:val="0"/>
        <w:keepLines w:val="0"/>
        <w:widowControl/>
        <w:suppressLineNumbers w:val="0"/>
        <w:spacing w:before="75" w:beforeAutospacing="0" w:after="75" w:afterAutospacing="0"/>
        <w:ind w:left="0" w:right="0" w:firstLine="480"/>
      </w:pPr>
      <w:r>
        <w:rPr>
          <w:rStyle w:val="10"/>
          <w:rFonts w:hint="eastAsia" w:ascii="宋体" w:hAnsi="宋体" w:eastAsia="宋体" w:cs="宋体"/>
          <w:b/>
          <w:bCs/>
          <w:spacing w:val="0"/>
          <w:sz w:val="24"/>
          <w:szCs w:val="24"/>
        </w:rPr>
        <w:t>※若出现本章第</w:t>
      </w:r>
      <w:r>
        <w:rPr>
          <w:rStyle w:val="10"/>
          <w:rFonts w:hint="default" w:ascii="Calibri" w:hAnsi="Calibri" w:cs="Calibri"/>
          <w:b/>
          <w:bCs/>
          <w:spacing w:val="0"/>
          <w:sz w:val="24"/>
          <w:szCs w:val="24"/>
        </w:rPr>
        <w:t>11.4</w:t>
      </w:r>
      <w:r>
        <w:rPr>
          <w:rStyle w:val="10"/>
          <w:rFonts w:hint="eastAsia" w:ascii="宋体" w:hAnsi="宋体" w:eastAsia="宋体" w:cs="宋体"/>
          <w:b/>
          <w:bCs/>
          <w:spacing w:val="0"/>
          <w:sz w:val="24"/>
          <w:szCs w:val="24"/>
        </w:rPr>
        <w:t>条第（</w:t>
      </w:r>
      <w:r>
        <w:rPr>
          <w:rStyle w:val="10"/>
          <w:rFonts w:hint="default" w:ascii="Calibri" w:hAnsi="Calibri" w:cs="Calibri"/>
          <w:b/>
          <w:bCs/>
          <w:spacing w:val="0"/>
          <w:sz w:val="24"/>
          <w:szCs w:val="24"/>
        </w:rPr>
        <w:t>3</w:t>
      </w:r>
      <w:r>
        <w:rPr>
          <w:rStyle w:val="10"/>
          <w:rFonts w:hint="eastAsia" w:ascii="宋体" w:hAnsi="宋体" w:eastAsia="宋体" w:cs="宋体"/>
          <w:b/>
          <w:bCs/>
          <w:spacing w:val="0"/>
          <w:sz w:val="24"/>
          <w:szCs w:val="24"/>
        </w:rPr>
        <w:t>）、（</w:t>
      </w:r>
      <w:r>
        <w:rPr>
          <w:rStyle w:val="10"/>
          <w:rFonts w:hint="default" w:ascii="Calibri" w:hAnsi="Calibri" w:cs="Calibri"/>
          <w:b/>
          <w:bCs/>
          <w:spacing w:val="0"/>
          <w:sz w:val="24"/>
          <w:szCs w:val="24"/>
        </w:rPr>
        <w:t>4</w:t>
      </w:r>
      <w:r>
        <w:rPr>
          <w:rStyle w:val="10"/>
          <w:rFonts w:hint="eastAsia" w:ascii="宋体" w:hAnsi="宋体" w:eastAsia="宋体" w:cs="宋体"/>
          <w:b/>
          <w:bCs/>
          <w:spacing w:val="0"/>
          <w:sz w:val="24"/>
          <w:szCs w:val="24"/>
        </w:rPr>
        <w:t>）、（</w:t>
      </w:r>
      <w:r>
        <w:rPr>
          <w:rStyle w:val="10"/>
          <w:rFonts w:hint="default" w:ascii="Calibri" w:hAnsi="Calibri" w:cs="Calibri"/>
          <w:b/>
          <w:bCs/>
          <w:spacing w:val="0"/>
          <w:sz w:val="24"/>
          <w:szCs w:val="24"/>
        </w:rPr>
        <w:t>5</w:t>
      </w:r>
      <w:r>
        <w:rPr>
          <w:rStyle w:val="10"/>
          <w:rFonts w:hint="eastAsia" w:ascii="宋体" w:hAnsi="宋体" w:eastAsia="宋体" w:cs="宋体"/>
          <w:b/>
          <w:bCs/>
          <w:spacing w:val="0"/>
          <w:sz w:val="24"/>
          <w:szCs w:val="24"/>
        </w:rPr>
        <w:t>）款规定情形之一</w:t>
      </w:r>
      <w:r>
        <w:rPr>
          <w:rFonts w:hint="eastAsia" w:ascii="宋体" w:hAnsi="宋体" w:eastAsia="宋体" w:cs="宋体"/>
          <w:spacing w:val="0"/>
          <w:sz w:val="24"/>
          <w:szCs w:val="24"/>
        </w:rPr>
        <w:t>，</w:t>
      </w:r>
      <w:r>
        <w:rPr>
          <w:rStyle w:val="10"/>
          <w:rFonts w:hint="eastAsia" w:ascii="宋体" w:hAnsi="宋体" w:eastAsia="宋体" w:cs="宋体"/>
          <w:b/>
          <w:bCs/>
          <w:spacing w:val="0"/>
          <w:sz w:val="24"/>
          <w:szCs w:val="24"/>
        </w:rPr>
        <w:t>则投标人不得在开标会后就开标过程和开标记录涉及或可能涉及的有关事由（包括但不限于：“投标报价”、“电子投标文件的格式”、“电子投标文件的提交”、“电子投标文件的补充、修改或撤回”等）向</w:t>
      </w:r>
      <w:r>
        <w:rPr>
          <w:rFonts w:hint="eastAsia" w:ascii="宋体" w:hAnsi="宋体" w:eastAsia="宋体" w:cs="宋体"/>
          <w:spacing w:val="0"/>
          <w:sz w:val="24"/>
          <w:szCs w:val="24"/>
          <w:u w:val="single"/>
        </w:rPr>
        <w:t>福建省君平建设管理有限公司</w:t>
      </w:r>
      <w:r>
        <w:rPr>
          <w:rStyle w:val="10"/>
          <w:rFonts w:hint="eastAsia" w:ascii="宋体" w:hAnsi="宋体" w:eastAsia="宋体" w:cs="宋体"/>
          <w:b/>
          <w:bCs/>
          <w:spacing w:val="0"/>
          <w:sz w:val="24"/>
          <w:szCs w:val="24"/>
        </w:rPr>
        <w:t>提出任何疑义或要求（包括质疑）。</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11.5投标截止时间后，参加投标的投标人不足三家的，不进行开标。同时，本次采购活动结束，</w:t>
      </w: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将依法组织后续采购活动（包括但不限于：重新招标、采用其他方式采购等）。</w:t>
      </w:r>
    </w:p>
    <w:p>
      <w:pPr>
        <w:pStyle w:val="7"/>
        <w:keepNext w:val="0"/>
        <w:keepLines w:val="0"/>
        <w:widowControl/>
        <w:suppressLineNumbers w:val="0"/>
        <w:spacing w:before="75" w:beforeAutospacing="0" w:after="240" w:afterAutospacing="0"/>
        <w:ind w:left="0" w:right="0" w:firstLine="0"/>
      </w:pPr>
      <w:r>
        <w:rPr>
          <w:rFonts w:hint="eastAsia" w:ascii="宋体" w:hAnsi="宋体" w:eastAsia="宋体" w:cs="宋体"/>
        </w:rPr>
        <w:t>11.6投标截止时间后撤销投标的处理</w:t>
      </w:r>
      <w:r>
        <w:rPr>
          <w:rFonts w:hint="eastAsia" w:ascii="宋体" w:hAnsi="宋体" w:eastAsia="宋体" w:cs="宋体"/>
        </w:rPr>
        <w:br w:type="textWrapping"/>
      </w:r>
      <w:r>
        <w:rPr>
          <w:rFonts w:hint="eastAsia" w:ascii="宋体" w:hAnsi="宋体" w:eastAsia="宋体" w:cs="宋体"/>
        </w:rPr>
        <w:t>  投标截止时间后，投标人在投标有效期内撤销投标的，其撤销投标的行为无效。    </w:t>
      </w:r>
      <w:r>
        <w:rPr>
          <w:rFonts w:hint="eastAsia" w:ascii="宋体" w:hAnsi="宋体" w:eastAsia="宋体" w:cs="宋体"/>
        </w:rPr>
        <w:br w:type="textWrapping"/>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bCs/>
          <w:spacing w:val="0"/>
          <w:sz w:val="24"/>
          <w:szCs w:val="24"/>
        </w:rPr>
        <w:t>六、中标与政府采购合同</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12、中标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12.1本项目推荐的中标候选人家数：详见招标文件第二章。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12.2本项目中标人的确定：详见招标文件第二章。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12.3中标公告</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（1）中标人确定之日起</w:t>
      </w:r>
      <w:r>
        <w:rPr>
          <w:rFonts w:hint="default" w:ascii="Calibri" w:hAnsi="Calibri" w:cs="Calibri"/>
          <w:spacing w:val="0"/>
          <w:sz w:val="24"/>
          <w:szCs w:val="24"/>
        </w:rPr>
        <w:t>2</w:t>
      </w:r>
      <w:r>
        <w:rPr>
          <w:rFonts w:hint="eastAsia" w:ascii="宋体" w:hAnsi="宋体" w:eastAsia="宋体" w:cs="宋体"/>
          <w:spacing w:val="0"/>
          <w:sz w:val="24"/>
          <w:szCs w:val="24"/>
        </w:rPr>
        <w:t>个工作日内，</w:t>
      </w: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将在招标文件载明的指定媒体以中标公告的形式发布中标结果。</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（2）中标公告的公告期限为</w:t>
      </w:r>
      <w:r>
        <w:rPr>
          <w:rFonts w:hint="default" w:ascii="Calibri" w:hAnsi="Calibri" w:cs="Calibri"/>
          <w:spacing w:val="0"/>
          <w:sz w:val="24"/>
          <w:szCs w:val="24"/>
        </w:rPr>
        <w:t>1</w:t>
      </w:r>
      <w:r>
        <w:rPr>
          <w:rFonts w:hint="eastAsia" w:ascii="宋体" w:hAnsi="宋体" w:eastAsia="宋体" w:cs="宋体"/>
          <w:spacing w:val="0"/>
          <w:sz w:val="24"/>
          <w:szCs w:val="24"/>
        </w:rPr>
        <w:t>个工作日。</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12.4中标通知书</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（1）中标公告发布的同时，</w:t>
      </w: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将向中标人发出中标通知书。</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（2）中标通知书发出后，采购人不得违法改变中标结果，中标人无正当理由不得放弃中标。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13、政府采购合同</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13.2签订时限：</w:t>
      </w:r>
      <w:r>
        <w:t>自中标通知书发出之日起30个日历日内。</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13.3政府采购合同的履行、违约责任和解决争议的方法等适用民法典。</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13.4采购人与中标人应根据政府采购合同的约定依法履行合同义务。</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13.5政府采购合同履行过程中，采购人若需追加与合同标的相同的货物或服务，则追加采购金额不得超过原合同采购金额的</w:t>
      </w:r>
      <w:r>
        <w:rPr>
          <w:rFonts w:hint="default" w:ascii="Calibri" w:hAnsi="Calibri" w:cs="Calibri"/>
          <w:spacing w:val="0"/>
          <w:sz w:val="24"/>
          <w:szCs w:val="24"/>
        </w:rPr>
        <w:t>10%</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13.6中标人在政府采购合同履行过程中应遵守有关法律、法规和规章的强制性规定（即使前述强制性规定有可能在招标文件中未予列明）。</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bCs/>
          <w:spacing w:val="0"/>
          <w:sz w:val="24"/>
          <w:szCs w:val="24"/>
        </w:rPr>
        <w:t>七、询问、质疑与投诉</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14、询问</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14.1潜在投标人或投标人对本次采购活动的有关事项若有疑问，可向福建省君平建设管理有限公司提出询问，福建省君平建设管理有限公司将按照政府采购法及实施条例的有关规定进行答复。</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15、质疑</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15.1</w:t>
      </w:r>
      <w:r>
        <w:rPr>
          <w:rFonts w:hint="eastAsia" w:ascii="宋体" w:hAnsi="宋体" w:eastAsia="宋体" w:cs="宋体"/>
        </w:rPr>
        <w:t>针对同一采购程序环节的质疑应在政府采购法及实施条例的时限内一次性提出</w:t>
      </w:r>
      <w:r>
        <w:rPr>
          <w:rFonts w:hint="eastAsia" w:ascii="宋体" w:hAnsi="宋体" w:eastAsia="宋体" w:cs="宋体"/>
          <w:spacing w:val="0"/>
        </w:rPr>
        <w:t>，对一个项目的不同采购包提出质疑的，应当将各采购包质疑事项集中在一份质疑函中提出，并同时符合下列条件：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（1）对招标文件提出质疑的，质疑人应为潜在投标人，且两者的身份、名称等均应保持一致。对采购过程、结果提出质疑的，质疑人应为投标人，且两者的身份、名称等均应保持一致。</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（2）质疑人应按照招标文件第二章规定方式提交质疑函。</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（3）质疑函应包括下列主要内容：</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①质疑人的基本信息，至少包括：全称、地址、邮政编码等；</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②所质疑项目的基本信息，至少包括：项目编号、项目名称等；</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③所质疑的具体事项（以下简称：“质疑事项”）；</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针对质疑事项提出的明确请求，前述明确请求指质疑人提出质疑的目的以及希望福建省君平建设管理有限公司对其质疑作出的处理结果，如：暂停招标投标活动、修改招标文件、停止或纠正违法违规行为、中标结果无效、废标、重新招标等；</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⑤针对质疑事项导致质疑人自身权益受到损害的必要证明材料，至少包括：</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a.质疑人代表的身份证明材料：</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a1</w:t>
      </w:r>
      <w:r>
        <w:rPr>
          <w:rFonts w:hint="eastAsia" w:ascii="宋体" w:hAnsi="宋体" w:eastAsia="宋体" w:cs="宋体"/>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spacing w:val="0"/>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a2若本项目接受自然人投标且质疑人为自然人的，提供本人的身份证复印件。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w:t>
      </w:r>
      <w:r>
        <w:rPr>
          <w:rFonts w:hint="eastAsia" w:ascii="宋体" w:hAnsi="宋体" w:eastAsia="宋体" w:cs="宋体"/>
        </w:rPr>
        <w:t>其他证明材料（即事实依据和必要的法律依据）</w:t>
      </w:r>
      <w:r>
        <w:rPr>
          <w:rFonts w:hint="eastAsia" w:ascii="宋体" w:hAnsi="宋体" w:eastAsia="宋体" w:cs="宋体"/>
          <w:spacing w:val="0"/>
        </w:rPr>
        <w:t>包括但不限于下列材料：</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b1所质疑的具体事项是与自己有利害关系的证明材料；</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b2质疑函所述事实存在的证明材料，如：采购文件、采购过程或中标结果违法违规或不符合采购文件要求等证明材料；</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b3依法应终止采购程序的证明材料；</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b4应重新采购的证明材料；</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b5采购文件、采购过程或中标、成交结果损害自己合法权益的证明材料等；</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0"/>
          <w:rFonts w:hint="eastAsia" w:ascii="宋体" w:hAnsi="宋体" w:eastAsia="宋体" w:cs="宋体"/>
          <w:b/>
          <w:bCs/>
          <w:spacing w:val="0"/>
          <w:sz w:val="24"/>
          <w:szCs w:val="24"/>
        </w:rPr>
        <w:t>视为无效</w:t>
      </w:r>
      <w:r>
        <w:rPr>
          <w:rFonts w:hint="eastAsia" w:ascii="宋体" w:hAnsi="宋体" w:eastAsia="宋体" w:cs="宋体"/>
          <w:spacing w:val="0"/>
          <w:sz w:val="24"/>
          <w:szCs w:val="24"/>
        </w:rPr>
        <w:t>）。</w:t>
      </w:r>
      <w:r>
        <w:rPr>
          <w:rFonts w:hint="eastAsia" w:ascii="宋体" w:hAnsi="宋体" w:eastAsia="宋体" w:cs="宋体"/>
          <w:spacing w:val="0"/>
          <w:sz w:val="24"/>
          <w:szCs w:val="24"/>
        </w:rPr>
        <w:br w:type="textWrapping"/>
      </w:r>
      <w:r>
        <w:rPr>
          <w:rFonts w:hint="eastAsia" w:ascii="宋体" w:hAnsi="宋体" w:eastAsia="宋体" w:cs="宋体"/>
        </w:rPr>
        <w:t>   ⑥质疑人代表及其联系方法的信息，至少包括：姓名、手机、电子信箱、邮寄地址等。</w:t>
      </w:r>
      <w:r>
        <w:rPr>
          <w:rFonts w:hint="eastAsia" w:ascii="宋体" w:hAnsi="宋体" w:eastAsia="宋体" w:cs="宋体"/>
        </w:rPr>
        <w:br w:type="textWrapping"/>
      </w:r>
      <w:r>
        <w:rPr>
          <w:rFonts w:hint="eastAsia" w:ascii="宋体" w:hAnsi="宋体" w:eastAsia="宋体" w:cs="宋体"/>
        </w:rPr>
        <w:t>   ⑦提出质疑的日期。</w:t>
      </w:r>
    </w:p>
    <w:p>
      <w:pPr>
        <w:pStyle w:val="7"/>
        <w:keepNext w:val="0"/>
        <w:keepLines w:val="0"/>
        <w:widowControl/>
        <w:suppressLineNumbers w:val="0"/>
        <w:spacing w:before="0" w:beforeAutospacing="0" w:after="150" w:afterAutospacing="0"/>
        <w:ind w:left="0" w:right="0" w:firstLine="480"/>
      </w:pPr>
      <w:r>
        <w:rPr>
          <w:rStyle w:val="10"/>
          <w:rFonts w:hint="eastAsia" w:ascii="宋体" w:hAnsi="宋体" w:eastAsia="宋体" w:cs="宋体"/>
          <w:b/>
          <w:bCs/>
          <w:sz w:val="24"/>
          <w:szCs w:val="24"/>
        </w:rPr>
        <w:t>※质疑人为法人或其他组织的，质疑函应由单位负责人或委托代理人签字或盖章，并加盖投标人的单位公章。质疑人为自然人的，质疑函应由本人签字。</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15.2对不符合本章第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条规定的质疑，将按照下列规定进行处理：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（1）不符合其中第（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）条规定的，书面告知质疑人不予受理及其理由。</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（2）不符合其中第（</w:t>
      </w:r>
      <w:r>
        <w:rPr>
          <w:rFonts w:hint="default" w:ascii="Calibri" w:hAnsi="Calibri" w:cs="Calibri"/>
          <w:spacing w:val="0"/>
          <w:sz w:val="24"/>
          <w:szCs w:val="24"/>
        </w:rPr>
        <w:t>3</w:t>
      </w:r>
      <w:r>
        <w:rPr>
          <w:rFonts w:hint="eastAsia" w:ascii="宋体" w:hAnsi="宋体" w:eastAsia="宋体" w:cs="宋体"/>
          <w:spacing w:val="0"/>
          <w:sz w:val="24"/>
          <w:szCs w:val="24"/>
        </w:rPr>
        <w:t>）条规定的，书面告知质疑人修改、补充后在规定时限内重新提交质疑函。</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15.3对符合本章第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条规定的质疑，将按照政府采购法及实施条例</w:t>
      </w:r>
      <w:r>
        <w:rPr>
          <w:rFonts w:hint="eastAsia" w:ascii="宋体" w:hAnsi="宋体" w:eastAsia="宋体" w:cs="宋体"/>
        </w:rPr>
        <w:t>、政府采购质疑和投诉办法</w:t>
      </w:r>
      <w:r>
        <w:rPr>
          <w:rFonts w:hint="eastAsia" w:ascii="宋体" w:hAnsi="宋体" w:eastAsia="宋体" w:cs="宋体"/>
          <w:spacing w:val="0"/>
        </w:rPr>
        <w:t>的有关规定进行答复。</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15.4招标文件的质疑：详见招标文件第二章。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16、投诉</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16.1若对质疑答复不满意或质疑答复未在答复期限内作出，质疑人可在答复期限届满之日起</w:t>
      </w:r>
      <w:r>
        <w:rPr>
          <w:rFonts w:hint="default" w:ascii="Calibri" w:hAnsi="Calibri" w:eastAsia="宋体" w:cs="Calibri"/>
          <w:sz w:val="24"/>
          <w:szCs w:val="24"/>
        </w:rPr>
        <w:t>15</w:t>
      </w:r>
      <w:r>
        <w:rPr>
          <w:rFonts w:hint="eastAsia" w:ascii="宋体" w:hAnsi="宋体" w:eastAsia="宋体" w:cs="宋体"/>
          <w:sz w:val="24"/>
          <w:szCs w:val="24"/>
        </w:rPr>
        <w:t>个工作日内按照政府采购质疑和投诉办法的有关规定向招标文件第二章载明的本项目监督管理部门提起投诉。</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16.2投诉应有明确的请求和必要的证明材料，投诉的事项不得超出已质疑事项的范围。</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bCs/>
          <w:spacing w:val="0"/>
          <w:sz w:val="24"/>
          <w:szCs w:val="24"/>
        </w:rPr>
        <w:t>八、政府采购政策</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17、政府采购政策由财政部根据国家的经济和社会发展政策并会同国家有关部委制定，包括但不限于下列具体政策要求：</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17.1进口产品指通过中国海关报关验放进入中国境内且产自关境外的产品，其中：</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（2）凡在海关特殊监管区域内企业生产或加工（包括从境外进口料件）销往境内其他地区的产品，不作为政府采购项下进口产品。</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（3）对从境外进入海关特殊监管区域，再经办理报关手续后从海关特殊监管区进入境内其他地区的产品，认定为进口产品。</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（4）招标文件列明不允许或未列明允许进口产品参加投标的，均视为拒绝进口产品参加投标。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7"/>
        <w:keepNext w:val="0"/>
        <w:keepLines w:val="0"/>
        <w:widowControl/>
        <w:suppressLineNumbers w:val="0"/>
        <w:spacing w:before="75" w:beforeAutospacing="0" w:after="75" w:afterAutospacing="0"/>
        <w:ind w:left="0" w:right="0"/>
      </w:pPr>
      <w:r>
        <w:rPr>
          <w:rFonts w:hint="eastAsia" w:ascii="宋体" w:hAnsi="宋体" w:eastAsia="宋体" w:cs="宋体"/>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10"/>
          <w:rFonts w:hint="eastAsia" w:ascii="宋体" w:hAnsi="宋体" w:eastAsia="宋体" w:cs="宋体"/>
          <w:b/>
          <w:bCs/>
        </w:rPr>
        <w:t>“残疾人福利性单位”</w:t>
      </w:r>
      <w:r>
        <w:rPr>
          <w:rFonts w:hint="eastAsia" w:ascii="宋体" w:hAnsi="宋体" w:eastAsia="宋体" w:cs="宋体"/>
          <w:sz w:val="24"/>
          <w:szCs w:val="24"/>
        </w:rPr>
        <w:t>）亦可享受前述扶持政策。其中：</w:t>
      </w:r>
    </w:p>
    <w:p>
      <w:pPr>
        <w:pStyle w:val="7"/>
        <w:keepNext w:val="0"/>
        <w:keepLines w:val="0"/>
        <w:widowControl/>
        <w:suppressLineNumbers w:val="0"/>
        <w:spacing w:before="75" w:beforeAutospacing="0" w:after="75" w:afterAutospacing="0"/>
        <w:ind w:left="0" w:right="0" w:firstLine="240"/>
      </w:pPr>
      <w:r>
        <w:rPr>
          <w:rFonts w:hint="eastAsia" w:ascii="宋体" w:hAnsi="宋体" w:eastAsia="宋体" w:cs="宋体"/>
          <w:sz w:val="24"/>
          <w:szCs w:val="24"/>
        </w:rPr>
        <w:t>（1）中小企业指符合下列条件的中型、小型、微型企业：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①符合《工业和信息化部、国家统计局、国家发展和改革委员会、财政部关于印发中小企业划型标准规定的通知》（工信部联企业</w:t>
      </w:r>
      <w:r>
        <w:rPr>
          <w:rFonts w:hint="default" w:ascii="Calibri" w:hAnsi="Calibri" w:cs="Calibri"/>
          <w:sz w:val="24"/>
          <w:szCs w:val="24"/>
        </w:rPr>
        <w:t>[2011]300</w:t>
      </w:r>
      <w:r>
        <w:rPr>
          <w:rFonts w:hint="eastAsia" w:ascii="宋体" w:hAnsi="宋体" w:eastAsia="宋体" w:cs="宋体"/>
          <w:sz w:val="24"/>
          <w:szCs w:val="24"/>
        </w:rPr>
        <w:t>号）规定的划分标准，但与大企业的负责人为同一人，或者与大企业存在直接控股、管理关系的除外；</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②符合中小企业划分标准的个体工商户，在政府采购活动中视同中小企业。</w:t>
      </w:r>
    </w:p>
    <w:p>
      <w:pPr>
        <w:pStyle w:val="7"/>
        <w:keepNext w:val="0"/>
        <w:keepLines w:val="0"/>
        <w:widowControl/>
        <w:suppressLineNumbers w:val="0"/>
        <w:spacing w:before="75" w:beforeAutospacing="0" w:after="75" w:afterAutospacing="0"/>
        <w:ind w:left="0" w:right="0" w:firstLine="240"/>
      </w:pPr>
      <w:r>
        <w:rPr>
          <w:rFonts w:hint="eastAsia" w:ascii="宋体" w:hAnsi="宋体" w:eastAsia="宋体" w:cs="宋体"/>
          <w:sz w:val="24"/>
          <w:szCs w:val="24"/>
        </w:rPr>
        <w:t>（2）在政府采购活动中，供应商提供的货物、工程或者服务符合下列情形的，享受本办法规定的中小企业扶持政策：</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①在货物采购项目中，货物由中小企业制造，即货物由中小企业生产且使用该中小企业商号或者注册商标；</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②在工程采购项目中，工程由中小企业承建，即工程施工单位为中小企业；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③在服务采购项目中，服务由中小企业承接，即提供服务的人员为中小企业依照《中华人民共和国劳动合同法》订立劳动合同的从业人员。</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在货物采购项目中，供应商提供的货物既有中小企业制造货物，也有大型企业制造货物的，不享受本办法规定的中小企业扶持政策。</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pPr>
        <w:pStyle w:val="7"/>
        <w:keepNext w:val="0"/>
        <w:keepLines w:val="0"/>
        <w:widowControl/>
        <w:suppressLineNumbers w:val="0"/>
        <w:spacing w:before="75" w:beforeAutospacing="0" w:after="75" w:afterAutospacing="0"/>
        <w:ind w:left="0" w:right="0" w:firstLine="240"/>
      </w:pPr>
      <w:r>
        <w:rPr>
          <w:rFonts w:hint="eastAsia" w:ascii="宋体" w:hAnsi="宋体" w:eastAsia="宋体" w:cs="宋体"/>
          <w:sz w:val="24"/>
          <w:szCs w:val="24"/>
        </w:rPr>
        <w:t>（3）投标人应当按照招标文件明确的采购标的对应行业的划分标准出具中小企业声明函。</w:t>
      </w:r>
    </w:p>
    <w:p>
      <w:pPr>
        <w:pStyle w:val="7"/>
        <w:keepNext w:val="0"/>
        <w:keepLines w:val="0"/>
        <w:widowControl/>
        <w:suppressLineNumbers w:val="0"/>
        <w:spacing w:before="75" w:beforeAutospacing="0" w:after="75" w:afterAutospacing="0"/>
        <w:ind w:left="0" w:right="0" w:firstLine="240"/>
      </w:pPr>
      <w:r>
        <w:rPr>
          <w:rFonts w:hint="eastAsia" w:ascii="宋体" w:hAnsi="宋体" w:eastAsia="宋体" w:cs="宋体"/>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7"/>
        <w:keepNext w:val="0"/>
        <w:keepLines w:val="0"/>
        <w:widowControl/>
        <w:suppressLineNumbers w:val="0"/>
        <w:spacing w:before="75" w:beforeAutospacing="0" w:after="75" w:afterAutospacing="0"/>
        <w:ind w:left="0" w:right="0" w:firstLine="240"/>
      </w:pPr>
      <w:r>
        <w:rPr>
          <w:rFonts w:hint="eastAsia" w:ascii="宋体" w:hAnsi="宋体" w:eastAsia="宋体" w:cs="宋体"/>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①监狱企业参加采购活动时，应提供由省级以上监狱管理局、戒毒管理局（含新疆生产建设兵团）出具的属于监狱企业的证明文件。</w:t>
      </w:r>
    </w:p>
    <w:p>
      <w:pPr>
        <w:pStyle w:val="7"/>
        <w:keepNext w:val="0"/>
        <w:keepLines w:val="0"/>
        <w:widowControl/>
        <w:suppressLineNumbers w:val="0"/>
        <w:spacing w:before="75" w:beforeAutospacing="0" w:after="240" w:afterAutospacing="0"/>
        <w:ind w:left="0" w:right="0" w:firstLine="480"/>
      </w:pPr>
      <w:r>
        <w:rPr>
          <w:rFonts w:hint="eastAsia" w:ascii="宋体" w:hAnsi="宋体" w:eastAsia="宋体" w:cs="宋体"/>
          <w:sz w:val="24"/>
          <w:szCs w:val="24"/>
        </w:rPr>
        <w:t>②监狱企业视同小型、微型企业。</w:t>
      </w:r>
    </w:p>
    <w:p>
      <w:pPr>
        <w:pStyle w:val="7"/>
        <w:keepNext w:val="0"/>
        <w:keepLines w:val="0"/>
        <w:widowControl/>
        <w:suppressLineNumbers w:val="0"/>
        <w:spacing w:before="75" w:beforeAutospacing="0" w:after="75" w:afterAutospacing="0"/>
        <w:ind w:left="0" w:right="0" w:firstLine="240"/>
      </w:pPr>
      <w:r>
        <w:rPr>
          <w:rFonts w:hint="eastAsia" w:ascii="宋体" w:hAnsi="宋体" w:eastAsia="宋体" w:cs="宋体"/>
          <w:sz w:val="24"/>
          <w:szCs w:val="24"/>
        </w:rPr>
        <w:t>（5）残疾人福利性单位指同时符合下列条件的单位：</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①安置的残疾人占本单位在职职工人数的比例不低于</w:t>
      </w:r>
      <w:r>
        <w:rPr>
          <w:rFonts w:hint="default" w:ascii="Calibri" w:hAnsi="Calibri" w:cs="Calibri"/>
          <w:sz w:val="24"/>
          <w:szCs w:val="24"/>
        </w:rPr>
        <w:t>25%</w:t>
      </w:r>
      <w:r>
        <w:rPr>
          <w:rFonts w:hint="eastAsia" w:ascii="宋体" w:hAnsi="宋体" w:eastAsia="宋体" w:cs="宋体"/>
          <w:sz w:val="24"/>
          <w:szCs w:val="24"/>
        </w:rPr>
        <w:t>（含</w:t>
      </w:r>
      <w:r>
        <w:rPr>
          <w:rFonts w:hint="default" w:ascii="Calibri" w:hAnsi="Calibri" w:cs="Calibri"/>
          <w:sz w:val="24"/>
          <w:szCs w:val="24"/>
        </w:rPr>
        <w:t>25%</w:t>
      </w:r>
      <w:r>
        <w:rPr>
          <w:rFonts w:hint="eastAsia" w:ascii="宋体" w:hAnsi="宋体" w:eastAsia="宋体" w:cs="宋体"/>
          <w:sz w:val="24"/>
          <w:szCs w:val="24"/>
        </w:rPr>
        <w:t>），并且安置的残疾人人数不少于</w:t>
      </w:r>
      <w:r>
        <w:rPr>
          <w:rFonts w:hint="default" w:ascii="Calibri" w:hAnsi="Calibri" w:cs="Calibri"/>
          <w:sz w:val="24"/>
          <w:szCs w:val="24"/>
        </w:rPr>
        <w:t>10</w:t>
      </w:r>
      <w:r>
        <w:rPr>
          <w:rFonts w:hint="eastAsia" w:ascii="宋体" w:hAnsi="宋体" w:eastAsia="宋体" w:cs="宋体"/>
          <w:sz w:val="24"/>
          <w:szCs w:val="24"/>
        </w:rPr>
        <w:t>人（含</w:t>
      </w:r>
      <w:r>
        <w:rPr>
          <w:rFonts w:hint="default" w:ascii="Calibri" w:hAnsi="Calibri" w:cs="Calibri"/>
          <w:sz w:val="24"/>
          <w:szCs w:val="24"/>
        </w:rPr>
        <w:t>10</w:t>
      </w:r>
      <w:r>
        <w:rPr>
          <w:rFonts w:hint="eastAsia" w:ascii="宋体" w:hAnsi="宋体" w:eastAsia="宋体" w:cs="宋体"/>
          <w:sz w:val="24"/>
          <w:szCs w:val="24"/>
        </w:rPr>
        <w:t>人）；</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②依法与安置的每位残疾人签订了一年以上（含一年）的劳动合同或服务协议；</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③为安置的每位残疾人按月足额缴纳了基本养老保险、基本医疗保险、失业保险、工伤保险和生育保险等社会保险费；</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④通过银行等金融机构向安置的每位残疾人，按月支付了不低于单位所在区县适用的经省级人民政府批准的月最低工资标准的工资；</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⑤提供本单位制造的货物、承担的工程或服务，或提供其他残疾人福利性单位制造的货物（不包括使用非残疾人福利性单位注册商标的货物）。</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前款所称残疾人指法定劳动年龄内，持有《中华人民共和国残疾人证》或《中华人民共和国残疾军人证（1至</w:t>
      </w:r>
      <w:r>
        <w:rPr>
          <w:rFonts w:hint="default" w:ascii="Calibri" w:hAnsi="Calibri" w:cs="Calibri"/>
          <w:sz w:val="24"/>
          <w:szCs w:val="24"/>
        </w:rPr>
        <w:t>8</w:t>
      </w:r>
      <w:r>
        <w:rPr>
          <w:rFonts w:hint="eastAsia" w:ascii="宋体" w:hAnsi="宋体" w:eastAsia="宋体" w:cs="宋体"/>
          <w:sz w:val="24"/>
          <w:szCs w:val="24"/>
        </w:rPr>
        <w:t>级）》的自然人，包括具有劳动条件和劳动意愿的精神残疾人。在职职工人数是指与残疾人福利性单位建立劳动关系并依法签订劳动合同或服务协议的雇员人数。</w:t>
      </w:r>
    </w:p>
    <w:p>
      <w:pPr>
        <w:pStyle w:val="7"/>
        <w:keepNext w:val="0"/>
        <w:keepLines w:val="0"/>
        <w:widowControl/>
        <w:suppressLineNumbers w:val="0"/>
        <w:spacing w:before="75" w:beforeAutospacing="0" w:after="75" w:afterAutospacing="0"/>
        <w:ind w:left="0" w:right="0" w:firstLine="480"/>
      </w:pPr>
      <w:r>
        <w:rPr>
          <w:rStyle w:val="10"/>
          <w:rFonts w:hint="eastAsia" w:ascii="宋体" w:hAnsi="宋体" w:eastAsia="宋体" w:cs="宋体"/>
          <w:b/>
          <w:bCs/>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17.5信用记录指由财政部确定的有关网站提供的相关主体信用信息。信用记录的查询及使用应符合财政部文件（财库</w:t>
      </w:r>
      <w:r>
        <w:rPr>
          <w:rFonts w:hint="default" w:ascii="Calibri" w:hAnsi="Calibri" w:cs="Calibri"/>
          <w:spacing w:val="0"/>
          <w:sz w:val="24"/>
          <w:szCs w:val="24"/>
        </w:rPr>
        <w:t>[2016]125</w:t>
      </w:r>
      <w:r>
        <w:rPr>
          <w:rFonts w:hint="eastAsia" w:ascii="宋体" w:hAnsi="宋体" w:eastAsia="宋体" w:cs="宋体"/>
          <w:spacing w:val="0"/>
          <w:sz w:val="24"/>
          <w:szCs w:val="24"/>
        </w:rPr>
        <w:t>号）规定。</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17.6为落实政府采购政策需满足的要求：详见招标文件第一章。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bCs/>
          <w:spacing w:val="0"/>
          <w:sz w:val="24"/>
          <w:szCs w:val="24"/>
        </w:rPr>
        <w:t>九、本项目的有关信息</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18.1指定媒体：详见招标文件第二章。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18.2本项目的潜在投标人或投标人应随时关注指定媒体，否则产生不利后果由其自行承担。</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bCs/>
          <w:spacing w:val="0"/>
          <w:sz w:val="24"/>
          <w:szCs w:val="24"/>
        </w:rPr>
        <w:t>十、其他事项</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19、其他事项：</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w:t>
      </w:r>
      <w:r>
        <w:rPr>
          <w:rFonts w:hint="eastAsia" w:ascii="宋体" w:hAnsi="宋体" w:eastAsia="宋体" w:cs="宋体"/>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rPr>
        <w:t>   19.2其他：详见招标文件第二章。</w:t>
      </w:r>
    </w:p>
    <w:p>
      <w:pPr>
        <w:pStyle w:val="7"/>
        <w:keepNext w:val="0"/>
        <w:keepLines w:val="0"/>
        <w:widowControl/>
        <w:suppressLineNumbers w:val="0"/>
        <w:spacing w:before="75" w:beforeAutospacing="0" w:after="240" w:afterAutospacing="0"/>
        <w:ind w:left="0" w:right="0" w:firstLine="0"/>
      </w:pPr>
    </w:p>
    <w:p>
      <w:pPr>
        <w:pStyle w:val="7"/>
        <w:keepNext w:val="0"/>
        <w:keepLines w:val="0"/>
        <w:widowControl/>
        <w:suppressLineNumbers w:val="0"/>
        <w:spacing w:before="75" w:beforeAutospacing="0" w:after="75" w:afterAutospacing="0"/>
        <w:ind w:left="0" w:right="0" w:firstLine="0"/>
        <w:jc w:val="center"/>
        <w:rPr>
          <w:spacing w:val="0"/>
          <w:sz w:val="24"/>
          <w:szCs w:val="24"/>
        </w:rPr>
      </w:pPr>
      <w:r>
        <w:rPr>
          <w:spacing w:val="0"/>
          <w:sz w:val="24"/>
          <w:szCs w:val="24"/>
        </w:rPr>
        <w:t> </w:t>
      </w:r>
    </w:p>
    <w:p>
      <w:pPr>
        <w:pStyle w:val="7"/>
        <w:keepNext w:val="0"/>
        <w:keepLines w:val="0"/>
        <w:widowControl/>
        <w:suppressLineNumbers w:val="0"/>
        <w:spacing w:before="75" w:beforeAutospacing="0" w:after="75" w:afterAutospacing="0"/>
        <w:ind w:left="0" w:right="0" w:firstLine="0"/>
        <w:jc w:val="center"/>
        <w:rPr>
          <w:spacing w:val="0"/>
          <w:sz w:val="24"/>
          <w:szCs w:val="24"/>
        </w:rPr>
      </w:pPr>
    </w:p>
    <w:p>
      <w:pPr>
        <w:pStyle w:val="7"/>
        <w:keepNext w:val="0"/>
        <w:keepLines w:val="0"/>
        <w:widowControl/>
        <w:suppressLineNumbers w:val="0"/>
        <w:spacing w:before="75" w:beforeAutospacing="0" w:after="75" w:afterAutospacing="0"/>
        <w:ind w:left="0" w:right="0" w:firstLine="0"/>
        <w:jc w:val="center"/>
        <w:rPr>
          <w:spacing w:val="0"/>
          <w:sz w:val="24"/>
          <w:szCs w:val="24"/>
        </w:rPr>
      </w:pPr>
    </w:p>
    <w:p>
      <w:pPr>
        <w:pStyle w:val="7"/>
        <w:keepNext w:val="0"/>
        <w:keepLines w:val="0"/>
        <w:widowControl/>
        <w:suppressLineNumbers w:val="0"/>
        <w:spacing w:before="75" w:beforeAutospacing="0" w:after="75" w:afterAutospacing="0"/>
        <w:ind w:left="0" w:right="0" w:firstLine="0"/>
        <w:jc w:val="center"/>
        <w:rPr>
          <w:spacing w:val="0"/>
          <w:sz w:val="24"/>
          <w:szCs w:val="24"/>
        </w:rPr>
      </w:pPr>
    </w:p>
    <w:p>
      <w:pPr>
        <w:pStyle w:val="7"/>
        <w:keepNext w:val="0"/>
        <w:keepLines w:val="0"/>
        <w:widowControl/>
        <w:suppressLineNumbers w:val="0"/>
        <w:spacing w:before="75" w:beforeAutospacing="0" w:after="75" w:afterAutospacing="0"/>
        <w:ind w:left="0" w:right="0" w:firstLine="0"/>
        <w:jc w:val="center"/>
        <w:rPr>
          <w:spacing w:val="0"/>
          <w:sz w:val="24"/>
          <w:szCs w:val="24"/>
        </w:rPr>
      </w:pPr>
    </w:p>
    <w:p>
      <w:pPr>
        <w:pStyle w:val="7"/>
        <w:keepNext w:val="0"/>
        <w:keepLines w:val="0"/>
        <w:widowControl/>
        <w:suppressLineNumbers w:val="0"/>
        <w:spacing w:before="75" w:beforeAutospacing="0" w:after="75" w:afterAutospacing="0"/>
        <w:ind w:left="0" w:right="0" w:firstLine="0"/>
        <w:jc w:val="center"/>
        <w:rPr>
          <w:spacing w:val="0"/>
          <w:sz w:val="24"/>
          <w:szCs w:val="24"/>
        </w:rPr>
      </w:pPr>
    </w:p>
    <w:p>
      <w:pPr>
        <w:pStyle w:val="7"/>
        <w:keepNext w:val="0"/>
        <w:keepLines w:val="0"/>
        <w:widowControl/>
        <w:suppressLineNumbers w:val="0"/>
        <w:spacing w:before="75" w:beforeAutospacing="0" w:after="75" w:afterAutospacing="0"/>
        <w:ind w:left="0" w:right="0" w:firstLine="0"/>
        <w:jc w:val="center"/>
        <w:rPr>
          <w:spacing w:val="0"/>
          <w:sz w:val="24"/>
          <w:szCs w:val="24"/>
        </w:rPr>
      </w:pPr>
    </w:p>
    <w:p>
      <w:pPr>
        <w:pStyle w:val="7"/>
        <w:keepNext w:val="0"/>
        <w:keepLines w:val="0"/>
        <w:widowControl/>
        <w:suppressLineNumbers w:val="0"/>
        <w:spacing w:before="75" w:beforeAutospacing="0" w:after="75" w:afterAutospacing="0"/>
        <w:ind w:left="0" w:right="0" w:firstLine="0"/>
        <w:jc w:val="center"/>
        <w:rPr>
          <w:spacing w:val="0"/>
          <w:sz w:val="24"/>
          <w:szCs w:val="24"/>
        </w:rPr>
      </w:pPr>
    </w:p>
    <w:p>
      <w:pPr>
        <w:pStyle w:val="7"/>
        <w:keepNext w:val="0"/>
        <w:keepLines w:val="0"/>
        <w:widowControl/>
        <w:suppressLineNumbers w:val="0"/>
        <w:spacing w:before="75" w:beforeAutospacing="0" w:after="75" w:afterAutospacing="0"/>
        <w:ind w:left="0" w:right="0" w:firstLine="0"/>
        <w:jc w:val="center"/>
        <w:rPr>
          <w:spacing w:val="0"/>
          <w:sz w:val="24"/>
          <w:szCs w:val="24"/>
        </w:rPr>
      </w:pPr>
    </w:p>
    <w:p>
      <w:pPr>
        <w:pStyle w:val="7"/>
        <w:keepNext w:val="0"/>
        <w:keepLines w:val="0"/>
        <w:widowControl/>
        <w:suppressLineNumbers w:val="0"/>
        <w:spacing w:before="75" w:beforeAutospacing="0" w:after="75" w:afterAutospacing="0"/>
        <w:ind w:left="0" w:right="0" w:firstLine="0"/>
        <w:jc w:val="center"/>
        <w:rPr>
          <w:spacing w:val="0"/>
          <w:sz w:val="24"/>
          <w:szCs w:val="24"/>
        </w:rPr>
      </w:pPr>
    </w:p>
    <w:p>
      <w:pPr>
        <w:pStyle w:val="7"/>
        <w:keepNext w:val="0"/>
        <w:keepLines w:val="0"/>
        <w:widowControl/>
        <w:suppressLineNumbers w:val="0"/>
        <w:spacing w:before="75" w:beforeAutospacing="0" w:after="75" w:afterAutospacing="0"/>
        <w:ind w:left="0" w:right="0" w:firstLine="0"/>
        <w:jc w:val="center"/>
        <w:rPr>
          <w:spacing w:val="0"/>
          <w:sz w:val="24"/>
          <w:szCs w:val="24"/>
        </w:rPr>
      </w:pPr>
    </w:p>
    <w:p>
      <w:pPr>
        <w:pStyle w:val="7"/>
        <w:keepNext w:val="0"/>
        <w:keepLines w:val="0"/>
        <w:widowControl/>
        <w:suppressLineNumbers w:val="0"/>
        <w:spacing w:before="75" w:beforeAutospacing="0" w:after="75" w:afterAutospacing="0"/>
        <w:ind w:left="0" w:right="0" w:firstLine="0"/>
        <w:jc w:val="center"/>
        <w:rPr>
          <w:spacing w:val="0"/>
          <w:sz w:val="24"/>
          <w:szCs w:val="24"/>
        </w:rPr>
      </w:pPr>
    </w:p>
    <w:p>
      <w:pPr>
        <w:pStyle w:val="7"/>
        <w:keepNext w:val="0"/>
        <w:keepLines w:val="0"/>
        <w:widowControl/>
        <w:suppressLineNumbers w:val="0"/>
        <w:spacing w:before="75" w:beforeAutospacing="0" w:after="75" w:afterAutospacing="0"/>
        <w:ind w:left="0" w:right="0" w:firstLine="0"/>
        <w:jc w:val="center"/>
        <w:rPr>
          <w:spacing w:val="0"/>
          <w:sz w:val="24"/>
          <w:szCs w:val="24"/>
        </w:rPr>
      </w:pPr>
    </w:p>
    <w:p>
      <w:pPr>
        <w:pStyle w:val="7"/>
        <w:keepNext w:val="0"/>
        <w:keepLines w:val="0"/>
        <w:widowControl/>
        <w:suppressLineNumbers w:val="0"/>
        <w:spacing w:before="75" w:beforeAutospacing="0" w:after="75" w:afterAutospacing="0"/>
        <w:ind w:left="0" w:right="0" w:firstLine="0"/>
        <w:jc w:val="center"/>
        <w:rPr>
          <w:spacing w:val="0"/>
          <w:sz w:val="24"/>
          <w:szCs w:val="24"/>
        </w:rPr>
      </w:pPr>
    </w:p>
    <w:p>
      <w:pPr>
        <w:pStyle w:val="7"/>
        <w:keepNext w:val="0"/>
        <w:keepLines w:val="0"/>
        <w:widowControl/>
        <w:suppressLineNumbers w:val="0"/>
        <w:spacing w:before="75" w:beforeAutospacing="0" w:after="75" w:afterAutospacing="0"/>
        <w:ind w:left="0" w:right="0" w:firstLine="0"/>
        <w:jc w:val="center"/>
        <w:rPr>
          <w:spacing w:val="0"/>
          <w:sz w:val="24"/>
          <w:szCs w:val="24"/>
        </w:rPr>
      </w:pPr>
    </w:p>
    <w:p>
      <w:pPr>
        <w:pStyle w:val="7"/>
        <w:keepNext w:val="0"/>
        <w:keepLines w:val="0"/>
        <w:widowControl/>
        <w:suppressLineNumbers w:val="0"/>
        <w:spacing w:before="75" w:beforeAutospacing="0" w:after="75" w:afterAutospacing="0"/>
        <w:ind w:left="0" w:right="0" w:firstLine="0"/>
        <w:jc w:val="center"/>
        <w:rPr>
          <w:spacing w:val="0"/>
          <w:sz w:val="24"/>
          <w:szCs w:val="24"/>
        </w:rPr>
      </w:pPr>
    </w:p>
    <w:p>
      <w:pPr>
        <w:pStyle w:val="7"/>
        <w:keepNext w:val="0"/>
        <w:keepLines w:val="0"/>
        <w:widowControl/>
        <w:suppressLineNumbers w:val="0"/>
        <w:spacing w:before="75" w:beforeAutospacing="0" w:after="75" w:afterAutospacing="0"/>
        <w:ind w:left="0" w:right="0" w:firstLine="0"/>
        <w:jc w:val="center"/>
        <w:rPr>
          <w:spacing w:val="0"/>
          <w:sz w:val="24"/>
          <w:szCs w:val="24"/>
        </w:rPr>
      </w:pPr>
    </w:p>
    <w:p>
      <w:pPr>
        <w:pStyle w:val="7"/>
        <w:keepNext w:val="0"/>
        <w:keepLines w:val="0"/>
        <w:widowControl/>
        <w:suppressLineNumbers w:val="0"/>
        <w:spacing w:before="75" w:beforeAutospacing="0" w:after="75" w:afterAutospacing="0"/>
        <w:ind w:left="0" w:right="0" w:firstLine="0"/>
        <w:jc w:val="center"/>
        <w:rPr>
          <w:spacing w:val="0"/>
          <w:sz w:val="24"/>
          <w:szCs w:val="24"/>
        </w:rPr>
      </w:pPr>
    </w:p>
    <w:p>
      <w:pPr>
        <w:pStyle w:val="7"/>
        <w:keepNext w:val="0"/>
        <w:keepLines w:val="0"/>
        <w:widowControl/>
        <w:suppressLineNumbers w:val="0"/>
        <w:spacing w:before="75" w:beforeAutospacing="0" w:after="75" w:afterAutospacing="0"/>
        <w:ind w:left="0" w:right="0" w:firstLine="0"/>
        <w:jc w:val="center"/>
        <w:rPr>
          <w:spacing w:val="0"/>
          <w:sz w:val="24"/>
          <w:szCs w:val="24"/>
        </w:rPr>
      </w:pPr>
    </w:p>
    <w:p>
      <w:pPr>
        <w:pStyle w:val="7"/>
        <w:keepNext w:val="0"/>
        <w:keepLines w:val="0"/>
        <w:widowControl/>
        <w:suppressLineNumbers w:val="0"/>
        <w:spacing w:before="75" w:beforeAutospacing="0" w:after="75" w:afterAutospacing="0"/>
        <w:ind w:left="0" w:right="0" w:firstLine="0"/>
        <w:jc w:val="center"/>
        <w:rPr>
          <w:spacing w:val="0"/>
          <w:sz w:val="24"/>
          <w:szCs w:val="24"/>
        </w:rPr>
      </w:pPr>
    </w:p>
    <w:p>
      <w:pPr>
        <w:pStyle w:val="7"/>
        <w:keepNext w:val="0"/>
        <w:keepLines w:val="0"/>
        <w:widowControl/>
        <w:suppressLineNumbers w:val="0"/>
        <w:spacing w:before="75" w:beforeAutospacing="0" w:after="75" w:afterAutospacing="0"/>
        <w:ind w:left="0" w:right="0" w:firstLine="0"/>
        <w:jc w:val="center"/>
        <w:rPr>
          <w:spacing w:val="0"/>
          <w:sz w:val="24"/>
          <w:szCs w:val="24"/>
        </w:rPr>
      </w:pPr>
    </w:p>
    <w:p>
      <w:pPr>
        <w:pStyle w:val="7"/>
        <w:keepNext w:val="0"/>
        <w:keepLines w:val="0"/>
        <w:widowControl/>
        <w:suppressLineNumbers w:val="0"/>
        <w:spacing w:before="75" w:beforeAutospacing="0" w:after="75" w:afterAutospacing="0"/>
        <w:ind w:left="0" w:right="0" w:firstLine="0"/>
        <w:jc w:val="center"/>
        <w:rPr>
          <w:spacing w:val="0"/>
          <w:sz w:val="24"/>
          <w:szCs w:val="24"/>
        </w:rPr>
      </w:pPr>
    </w:p>
    <w:p>
      <w:pPr>
        <w:pStyle w:val="7"/>
        <w:keepNext w:val="0"/>
        <w:keepLines w:val="0"/>
        <w:widowControl/>
        <w:suppressLineNumbers w:val="0"/>
        <w:spacing w:before="75" w:beforeAutospacing="0" w:after="75" w:afterAutospacing="0"/>
        <w:ind w:left="0" w:right="0" w:firstLine="0"/>
        <w:jc w:val="center"/>
        <w:rPr>
          <w:spacing w:val="0"/>
          <w:sz w:val="24"/>
          <w:szCs w:val="24"/>
        </w:rPr>
      </w:pPr>
    </w:p>
    <w:p>
      <w:pPr>
        <w:pStyle w:val="7"/>
        <w:keepNext w:val="0"/>
        <w:keepLines w:val="0"/>
        <w:widowControl/>
        <w:suppressLineNumbers w:val="0"/>
        <w:spacing w:before="75" w:beforeAutospacing="0" w:after="75" w:afterAutospacing="0"/>
        <w:ind w:left="0" w:right="0" w:firstLine="0"/>
        <w:jc w:val="center"/>
        <w:rPr>
          <w:spacing w:val="0"/>
          <w:sz w:val="24"/>
          <w:szCs w:val="24"/>
        </w:rPr>
      </w:pPr>
    </w:p>
    <w:p>
      <w:pPr>
        <w:pStyle w:val="7"/>
        <w:keepNext w:val="0"/>
        <w:keepLines w:val="0"/>
        <w:widowControl/>
        <w:suppressLineNumbers w:val="0"/>
        <w:spacing w:before="75" w:beforeAutospacing="0" w:after="75" w:afterAutospacing="0"/>
        <w:ind w:left="0" w:right="0" w:firstLine="0"/>
        <w:jc w:val="center"/>
        <w:rPr>
          <w:spacing w:val="0"/>
          <w:sz w:val="24"/>
          <w:szCs w:val="24"/>
        </w:rPr>
      </w:pPr>
    </w:p>
    <w:p>
      <w:pPr>
        <w:pStyle w:val="7"/>
        <w:keepNext w:val="0"/>
        <w:keepLines w:val="0"/>
        <w:widowControl/>
        <w:suppressLineNumbers w:val="0"/>
        <w:spacing w:before="75" w:beforeAutospacing="0" w:after="75" w:afterAutospacing="0"/>
        <w:ind w:left="0" w:right="0" w:firstLine="0"/>
        <w:jc w:val="center"/>
        <w:rPr>
          <w:spacing w:val="0"/>
          <w:sz w:val="24"/>
          <w:szCs w:val="24"/>
        </w:rPr>
      </w:pPr>
    </w:p>
    <w:p>
      <w:pPr>
        <w:pStyle w:val="7"/>
        <w:keepNext w:val="0"/>
        <w:keepLines w:val="0"/>
        <w:widowControl/>
        <w:suppressLineNumbers w:val="0"/>
        <w:spacing w:before="75" w:beforeAutospacing="0" w:after="75" w:afterAutospacing="0"/>
        <w:ind w:left="0" w:right="0" w:firstLine="0"/>
        <w:jc w:val="center"/>
        <w:rPr>
          <w:spacing w:val="0"/>
          <w:sz w:val="24"/>
          <w:szCs w:val="24"/>
        </w:rPr>
      </w:pPr>
    </w:p>
    <w:p>
      <w:pPr>
        <w:pStyle w:val="7"/>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7"/>
        <w:keepNext w:val="0"/>
        <w:keepLines w:val="0"/>
        <w:widowControl/>
        <w:suppressLineNumbers w:val="0"/>
        <w:spacing w:before="75" w:beforeAutospacing="0" w:after="240" w:afterAutospacing="0"/>
        <w:ind w:left="0" w:right="0" w:firstLine="0"/>
      </w:pPr>
      <w:r>
        <w:rPr>
          <w:rFonts w:hint="default" w:ascii="Calibri" w:hAnsi="Calibri" w:cs="Calibri"/>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bCs/>
          <w:spacing w:val="0"/>
          <w:sz w:val="31"/>
          <w:szCs w:val="31"/>
        </w:rPr>
        <w:t>第四章   资格审查与评标</w:t>
      </w:r>
    </w:p>
    <w:p>
      <w:pPr>
        <w:pStyle w:val="7"/>
        <w:keepNext w:val="0"/>
        <w:keepLines w:val="0"/>
        <w:widowControl/>
        <w:suppressLineNumbers w:val="0"/>
        <w:spacing w:before="75" w:beforeAutospacing="0" w:after="75" w:afterAutospacing="0"/>
        <w:ind w:left="0" w:right="0" w:firstLine="0"/>
        <w:jc w:val="center"/>
      </w:pPr>
      <w:r>
        <w:rPr>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bCs/>
          <w:spacing w:val="0"/>
          <w:sz w:val="24"/>
          <w:szCs w:val="24"/>
        </w:rPr>
        <w:t>一、资格审查</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1、开标结束后，由</w:t>
      </w: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负责资格审查小组的组建及资格审查工作的组织。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1.1资格审查小组由</w:t>
      </w:r>
      <w:r>
        <w:rPr>
          <w:rFonts w:hint="default" w:ascii="Calibri" w:hAnsi="Calibri" w:cs="Calibri"/>
          <w:spacing w:val="0"/>
          <w:sz w:val="24"/>
          <w:szCs w:val="24"/>
        </w:rPr>
        <w:t>3</w:t>
      </w:r>
      <w:r>
        <w:rPr>
          <w:rFonts w:hint="eastAsia" w:ascii="宋体" w:hAnsi="宋体" w:eastAsia="宋体" w:cs="宋体"/>
          <w:spacing w:val="0"/>
          <w:sz w:val="24"/>
          <w:szCs w:val="24"/>
        </w:rPr>
        <w:t>人组成，并负责具体审查事务，其中：由采购人派出的采购人代表至少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w:t>
      </w: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派出的工作人员至少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人，其余</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人可为采购人代表或</w:t>
      </w: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的工作人员。</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1.2资格审查的依据是招标文件和电子投标文件。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1.3资格审查的范围及内容：电子投标文件（资格及资信证明部分），具体如下：</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  （1）</w:t>
      </w:r>
      <w:r>
        <w:rPr>
          <w:rFonts w:hint="eastAsia" w:ascii="宋体" w:hAnsi="宋体" w:eastAsia="宋体" w:cs="宋体"/>
          <w:spacing w:val="0"/>
        </w:rPr>
        <w:t>“投标函”；</w:t>
      </w:r>
      <w:r>
        <w:rPr>
          <w:rFonts w:hint="eastAsia" w:ascii="宋体" w:hAnsi="宋体" w:eastAsia="宋体" w:cs="宋体"/>
          <w:spacing w:val="0"/>
        </w:rPr>
        <w:br w:type="textWrapping"/>
      </w:r>
      <w:r>
        <w:rPr>
          <w:rFonts w:hint="eastAsia" w:ascii="宋体" w:hAnsi="宋体" w:eastAsia="宋体" w:cs="宋体"/>
          <w:spacing w:val="0"/>
        </w:rPr>
        <w:t>  （2）“投标人的资格及资信证明文件”</w:t>
      </w:r>
      <w:r>
        <w:rPr>
          <w:rFonts w:hint="eastAsia" w:ascii="宋体" w:hAnsi="宋体" w:eastAsia="宋体" w:cs="宋体"/>
          <w:spacing w:val="0"/>
        </w:rPr>
        <w:br w:type="textWrapping"/>
      </w:r>
      <w:r>
        <w:rPr>
          <w:rFonts w:hint="eastAsia" w:ascii="宋体" w:hAnsi="宋体" w:eastAsia="宋体" w:cs="宋体"/>
          <w:spacing w:val="0"/>
        </w:rPr>
        <w:t>   </w:t>
      </w:r>
      <w:r>
        <w:rPr>
          <w:rFonts w:hint="eastAsia" w:ascii="宋体" w:hAnsi="宋体" w:eastAsia="宋体" w:cs="宋体"/>
        </w:rPr>
        <w:t>①</w:t>
      </w:r>
      <w:r>
        <w:rPr>
          <w:rFonts w:hint="eastAsia" w:ascii="宋体" w:hAnsi="宋体" w:eastAsia="宋体" w:cs="宋体"/>
          <w:spacing w:val="0"/>
        </w:rPr>
        <w:t>一般资格证明文件：</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22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b/>
                <w:bCs/>
              </w:rPr>
            </w:pPr>
            <w:r>
              <w:rPr>
                <w:rFonts w:ascii="宋体" w:hAnsi="宋体" w:eastAsia="宋体" w:cs="宋体"/>
                <w:b/>
                <w:bCs/>
                <w:kern w:val="0"/>
                <w:sz w:val="24"/>
                <w:szCs w:val="24"/>
                <w:bdr w:val="none" w:color="auto" w:sz="0" w:space="0"/>
                <w:lang w:val="en-US" w:eastAsia="zh-CN" w:bidi="ar"/>
              </w:rPr>
              <w:t>明细</w:t>
            </w:r>
          </w:p>
        </w:tc>
        <w:tc>
          <w:tcPr>
            <w:tcW w:w="2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b/>
                <w:bCs/>
              </w:rPr>
            </w:pPr>
            <w:r>
              <w:rPr>
                <w:rFonts w:ascii="宋体" w:hAnsi="宋体" w:eastAsia="宋体" w:cs="宋体"/>
                <w:b/>
                <w:bCs/>
                <w:kern w:val="0"/>
                <w:sz w:val="24"/>
                <w:szCs w:val="24"/>
                <w:bdr w:val="none" w:color="auto" w:sz="0" w:space="0"/>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（1）单位授权书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（2）营业执照等证明文件</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（3）提供财务状况报告(财务报告、或资信证明）</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（4）依法缴纳税收证明材料</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（5）依法缴纳社会保障资金证明材料</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（6）具备履行合同所必需设备和专业技术能力的声明函(若有)</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（7）参加采购活动前三年内在经营活动中没有重大违法记录的声明</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（8）信用记录查询结果</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（9）中小企业声明函（以资格条件落实中小企业扶持政策时适用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（10）联合体协议（若有）</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①招标文件接受联合体投标且投标人为联合体的，投标人应提供本协议；否则无须提供。 ②本协议由委托代理人签字或盖章的，应按照招标文件第七章载明的格式提供“单位授权书”。</w:t>
            </w:r>
          </w:p>
        </w:tc>
      </w:tr>
    </w:tbl>
    <w:p>
      <w:pPr>
        <w:keepNext w:val="0"/>
        <w:keepLines w:val="0"/>
        <w:widowControl/>
        <w:suppressLineNumbers w:val="0"/>
        <w:jc w:val="left"/>
      </w:pPr>
      <w:r>
        <w:rPr>
          <w:rFonts w:ascii="宋体" w:hAnsi="宋体" w:eastAsia="宋体" w:cs="宋体"/>
          <w:kern w:val="0"/>
          <w:sz w:val="24"/>
          <w:szCs w:val="24"/>
          <w:lang w:val="en-US" w:eastAsia="zh-CN" w:bidi="ar"/>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w:t>
      </w:r>
      <w:r>
        <w:rPr>
          <w:rFonts w:hint="eastAsia" w:ascii="宋体" w:hAnsi="宋体" w:eastAsia="宋体" w:cs="宋体"/>
          <w:spacing w:val="0"/>
          <w:sz w:val="24"/>
          <w:szCs w:val="24"/>
        </w:rPr>
        <w:t>备注说明</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①投标人应根据自身实际情况提供上述资格要求的证明材料，格式可参考招标文件第七章提供。</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②投标人提供的相应证明材料复印件均应符合：内容完整、清晰、整洁，并由投标人加盖其单位公章。</w:t>
      </w:r>
    </w:p>
    <w:p>
      <w:pPr>
        <w:pStyle w:val="7"/>
        <w:keepNext w:val="0"/>
        <w:keepLines w:val="0"/>
        <w:widowControl/>
        <w:suppressLineNumbers w:val="0"/>
        <w:spacing w:before="0" w:beforeAutospacing="0" w:after="150" w:afterAutospacing="0"/>
        <w:ind w:left="0" w:right="0"/>
      </w:pPr>
      <w:r>
        <w:br w:type="textWrapping"/>
      </w:r>
      <w:r>
        <w:rPr>
          <w:rFonts w:hint="eastAsia" w:ascii="宋体" w:hAnsi="宋体" w:eastAsia="宋体" w:cs="宋体"/>
          <w:spacing w:val="0"/>
          <w:sz w:val="24"/>
          <w:szCs w:val="24"/>
        </w:rPr>
        <w:br w:type="textWrapping"/>
      </w:r>
      <w:r>
        <w:rPr>
          <w:rFonts w:hint="eastAsia" w:ascii="宋体" w:hAnsi="宋体" w:eastAsia="宋体" w:cs="宋体"/>
          <w:spacing w:val="0"/>
        </w:rPr>
        <w:t>   ②.其他资格证明文件：</w:t>
      </w:r>
    </w:p>
    <w:p>
      <w:pPr>
        <w:pStyle w:val="7"/>
        <w:keepNext w:val="0"/>
        <w:keepLines w:val="0"/>
        <w:widowControl/>
        <w:suppressLineNumbers w:val="0"/>
        <w:spacing w:before="75" w:beforeAutospacing="0" w:after="75" w:afterAutospacing="0"/>
        <w:ind w:left="0" w:right="0" w:firstLine="480"/>
      </w:pPr>
      <w:r>
        <w:rPr>
          <w:rStyle w:val="10"/>
          <w:b/>
          <w:bCs/>
          <w:spacing w:val="0"/>
          <w:sz w:val="24"/>
          <w:szCs w:val="24"/>
        </w:rPr>
        <w:t>包：1</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22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b/>
                <w:bCs/>
              </w:rPr>
            </w:pPr>
            <w:r>
              <w:rPr>
                <w:rFonts w:ascii="宋体" w:hAnsi="宋体" w:eastAsia="宋体" w:cs="宋体"/>
                <w:b/>
                <w:bCs/>
                <w:kern w:val="0"/>
                <w:sz w:val="24"/>
                <w:szCs w:val="24"/>
                <w:bdr w:val="none" w:color="auto" w:sz="0" w:space="0"/>
                <w:lang w:val="en-US" w:eastAsia="zh-CN" w:bidi="ar"/>
              </w:rPr>
              <w:t>明细</w:t>
            </w:r>
          </w:p>
        </w:tc>
        <w:tc>
          <w:tcPr>
            <w:tcW w:w="2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b/>
                <w:bCs/>
              </w:rPr>
            </w:pPr>
            <w:r>
              <w:rPr>
                <w:rFonts w:ascii="宋体" w:hAnsi="宋体" w:eastAsia="宋体" w:cs="宋体"/>
                <w:b/>
                <w:bCs/>
                <w:kern w:val="0"/>
                <w:sz w:val="24"/>
                <w:szCs w:val="24"/>
                <w:bdr w:val="none" w:color="auto" w:sz="0" w:space="0"/>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招标文件规定的其他资格证明文件（若有）</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具备履行合同所必需设备和专业技术能力专项证明材料（若有）</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落实政府采购政策的证明材料（专门面向中小企业采购）</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根据《政府采购促进中小企业发展管理办法》（财库〔2020〕46号），本项目为专门面向中小微企业采购项目，不接受非中小微企业参与投标。投标人须按本招标文件第七章的格式提供《中小企业声明函》，否则视为资格审查不合格。注：①上述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②依据相关规定享受扶持政策获得政府采购合同的，小微企业不得将合同分包给大中型企业，中型企业不得将合同分包给大型企业。③本项目为货物类采购项目，对应的中小企业划分标准所属行业为“工业”。④监狱企业视同小型、微型企业，投标人为监狱企业的，可不提供中小企业声明函，但须提供由省级以上监狱管理局、戒毒管理局（含新疆生产建设兵团）出具的属于监狱企业的证明文件。⑤残疾人福利性单位视同小型、微型企业，投标人为残疾人福利性单位的，可不提供中小企业声明函，但须提供《残疾人福利性单位声明函》。</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（3）投标保证金。</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1.4有下列情形之一的，</w:t>
      </w:r>
      <w:r>
        <w:rPr>
          <w:rStyle w:val="10"/>
          <w:rFonts w:hint="eastAsia" w:ascii="宋体" w:hAnsi="宋体" w:eastAsia="宋体" w:cs="宋体"/>
          <w:b/>
          <w:bCs/>
          <w:spacing w:val="0"/>
          <w:sz w:val="24"/>
          <w:szCs w:val="24"/>
        </w:rPr>
        <w:t>资格审查不合格：</w:t>
      </w:r>
      <w:r>
        <w:rPr>
          <w:rStyle w:val="10"/>
          <w:rFonts w:hint="eastAsia" w:ascii="宋体" w:hAnsi="宋体" w:eastAsia="宋体" w:cs="宋体"/>
          <w:b/>
          <w:bCs/>
          <w:spacing w:val="0"/>
          <w:sz w:val="24"/>
          <w:szCs w:val="24"/>
        </w:rPr>
        <w:br w:type="textWrapping"/>
      </w:r>
      <w:r>
        <w:rPr>
          <w:rFonts w:hint="eastAsia" w:ascii="宋体" w:hAnsi="宋体" w:eastAsia="宋体" w:cs="宋体"/>
        </w:rPr>
        <w:t>  （1）一般情形：</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5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b/>
                <w:bCs/>
              </w:rPr>
            </w:pPr>
            <w:r>
              <w:rPr>
                <w:rFonts w:ascii="宋体" w:hAnsi="宋体" w:eastAsia="宋体" w:cs="宋体"/>
                <w:b/>
                <w:bCs/>
                <w:kern w:val="0"/>
                <w:sz w:val="24"/>
                <w:szCs w:val="24"/>
                <w:bdr w:val="none" w:color="auto" w:sz="0" w:space="0"/>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未按照招标文件规定提交投标保证金</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（2）本项目规定的其他情形：</w:t>
      </w:r>
    </w:p>
    <w:p>
      <w:pPr>
        <w:pStyle w:val="7"/>
        <w:keepNext w:val="0"/>
        <w:keepLines w:val="0"/>
        <w:widowControl/>
        <w:suppressLineNumbers w:val="0"/>
        <w:spacing w:before="0" w:beforeAutospacing="0" w:after="150" w:afterAutospacing="0"/>
        <w:ind w:left="0" w:right="0" w:firstLine="480"/>
      </w:pPr>
      <w:r>
        <w:rPr>
          <w:rStyle w:val="10"/>
          <w:b/>
          <w:bCs/>
        </w:rPr>
        <w:t>包：1</w:t>
      </w:r>
      <w:r>
        <w:br w:type="textWrapping"/>
      </w:r>
      <w:r>
        <w:rPr>
          <w:rStyle w:val="10"/>
          <w:b/>
          <w:bCs/>
          <w:sz w:val="24"/>
          <w:szCs w:val="24"/>
        </w:rPr>
        <w:t>         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spacing w:val="0"/>
          <w:sz w:val="24"/>
          <w:szCs w:val="24"/>
        </w:rPr>
        <w:t>1.2</w:t>
      </w:r>
      <w:r>
        <w:rPr>
          <w:rFonts w:hint="eastAsia" w:ascii="宋体" w:hAnsi="宋体" w:eastAsia="宋体" w:cs="宋体"/>
          <w:spacing w:val="0"/>
          <w:sz w:val="24"/>
          <w:szCs w:val="24"/>
        </w:rPr>
        <w:t>、</w:t>
      </w:r>
      <w:r>
        <w:rPr>
          <w:rFonts w:hint="default" w:ascii="Calibri" w:hAnsi="Calibri" w:cs="Calibri"/>
          <w:spacing w:val="0"/>
          <w:sz w:val="24"/>
          <w:szCs w:val="24"/>
        </w:rPr>
        <w:t>1.3</w:t>
      </w:r>
      <w:r>
        <w:rPr>
          <w:rFonts w:hint="eastAsia" w:ascii="宋体" w:hAnsi="宋体" w:eastAsia="宋体" w:cs="宋体"/>
          <w:spacing w:val="0"/>
          <w:sz w:val="24"/>
          <w:szCs w:val="24"/>
        </w:rPr>
        <w:t>、</w:t>
      </w:r>
      <w:r>
        <w:rPr>
          <w:rFonts w:hint="default" w:ascii="Calibri" w:hAnsi="Calibri" w:cs="Calibri"/>
          <w:spacing w:val="0"/>
          <w:sz w:val="24"/>
          <w:szCs w:val="24"/>
        </w:rPr>
        <w:t>1.4</w:t>
      </w:r>
      <w:r>
        <w:rPr>
          <w:rFonts w:hint="eastAsia" w:ascii="宋体" w:hAnsi="宋体" w:eastAsia="宋体" w:cs="宋体"/>
          <w:spacing w:val="0"/>
          <w:sz w:val="24"/>
          <w:szCs w:val="24"/>
        </w:rPr>
        <w:t>条规定进行资格审查。</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2、资格审查情况不得私自外泄，有关信息由</w:t>
      </w: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统一对外发布。</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3、资格审查合格的投标人不足三家的，不进行评标。同时，本次采购活动结束，</w:t>
      </w: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将依法组织后续采购活动（包括但不限于：重新招标、采用其他方式采购等）。</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bCs/>
          <w:spacing w:val="0"/>
          <w:sz w:val="24"/>
          <w:szCs w:val="24"/>
        </w:rPr>
        <w:t>二、评标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w:t>
      </w:r>
      <w:r>
        <w:rPr>
          <w:rFonts w:hint="eastAsia" w:ascii="宋体" w:hAnsi="宋体" w:eastAsia="宋体" w:cs="宋体"/>
        </w:rPr>
        <w:t>资格审查结束后，由</w:t>
      </w:r>
      <w:r>
        <w:rPr>
          <w:rFonts w:hint="eastAsia" w:ascii="宋体" w:hAnsi="宋体" w:eastAsia="宋体" w:cs="宋体"/>
          <w:spacing w:val="0"/>
        </w:rPr>
        <w:t>福建省君平建设管理有限公司负责评标委员会的组建及评标工作的组织。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5、评标委员会</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5.1评标委员会由采购人代表和评标专家两部分共</w:t>
      </w:r>
      <w:r>
        <w:rPr>
          <w:rFonts w:hint="eastAsia" w:ascii="宋体" w:hAnsi="宋体" w:eastAsia="宋体" w:cs="宋体"/>
          <w:spacing w:val="0"/>
          <w:sz w:val="24"/>
          <w:szCs w:val="24"/>
          <w:u w:val="single"/>
        </w:rPr>
        <w:t>5</w:t>
      </w:r>
      <w:r>
        <w:rPr>
          <w:rFonts w:hint="eastAsia" w:ascii="宋体" w:hAnsi="宋体" w:eastAsia="宋体" w:cs="宋体"/>
          <w:spacing w:val="0"/>
          <w:sz w:val="24"/>
          <w:szCs w:val="24"/>
        </w:rPr>
        <w:t>人（以下简称“评委”）组成，其中：由采购人派出的采购人代表</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人，由福建省政府采购评审专家库产生的评标专家</w:t>
      </w:r>
      <w:r>
        <w:rPr>
          <w:rFonts w:hint="eastAsia" w:ascii="宋体" w:hAnsi="宋体" w:eastAsia="宋体" w:cs="宋体"/>
          <w:spacing w:val="0"/>
          <w:sz w:val="24"/>
          <w:szCs w:val="24"/>
          <w:u w:val="single"/>
        </w:rPr>
        <w:t>4</w:t>
      </w:r>
      <w:r>
        <w:rPr>
          <w:rFonts w:hint="eastAsia" w:ascii="宋体" w:hAnsi="宋体" w:eastAsia="宋体" w:cs="宋体"/>
          <w:spacing w:val="0"/>
          <w:sz w:val="24"/>
          <w:szCs w:val="24"/>
        </w:rPr>
        <w:t>人。</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5.2评标委员会负责具体评标事务，并按照下列原则依法独立履行有关职责：</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（1）评标应保护国家利益、社会公共利益和各方当事人合法权益，提高采购效益，保证项目质量。</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（2）评标应遵循公平、公正、科学、严谨和择优原则。</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（3）评标的依据是招标文件和电子投标文件。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（4）应按照招标文件规定推荐中标候选人或确定中标人。</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（5）评标应遵守下列评标纪律：</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①评标情况不得私自外泄，有关信息由</w:t>
      </w: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统一对外发布。</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w:t>
      </w:r>
      <w:r>
        <w:rPr>
          <w:rFonts w:hint="eastAsia" w:ascii="宋体" w:hAnsi="宋体" w:eastAsia="宋体" w:cs="宋体"/>
          <w:spacing w:val="0"/>
          <w:sz w:val="24"/>
          <w:szCs w:val="24"/>
          <w:u w:val="single"/>
        </w:rPr>
        <w:t>福建省君平建设管理有限公司</w:t>
      </w:r>
      <w:r>
        <w:rPr>
          <w:rFonts w:hint="eastAsia" w:ascii="宋体" w:hAnsi="宋体" w:eastAsia="宋体" w:cs="宋体"/>
          <w:spacing w:val="0"/>
          <w:sz w:val="24"/>
          <w:szCs w:val="24"/>
        </w:rPr>
        <w:t>或投标人提供的要求保密的资料，不得摘记翻印和外传。</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③不得收受投标人或有关人员的任何礼物，不得串联鼓动其他人袒护某投标人。若与投标人存在利害关系，则应主动声明并回避。</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④全体评委应按照招标文件规定进行评标，一切认定事项应查有实据且不得弄虚作假。</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⑤评标中应充分发扬民主，推荐中标候选人或确定中标人后要服从评标报告。</w:t>
      </w:r>
    </w:p>
    <w:p>
      <w:pPr>
        <w:pStyle w:val="7"/>
        <w:keepNext w:val="0"/>
        <w:keepLines w:val="0"/>
        <w:widowControl/>
        <w:suppressLineNumbers w:val="0"/>
        <w:spacing w:before="75" w:beforeAutospacing="0" w:after="75" w:afterAutospacing="0"/>
        <w:ind w:left="0" w:right="0" w:firstLine="480"/>
      </w:pPr>
      <w:r>
        <w:rPr>
          <w:rStyle w:val="10"/>
          <w:rFonts w:hint="eastAsia" w:ascii="宋体" w:hAnsi="宋体" w:eastAsia="宋体" w:cs="宋体"/>
          <w:b/>
          <w:bCs/>
          <w:spacing w:val="0"/>
          <w:sz w:val="24"/>
          <w:szCs w:val="24"/>
        </w:rPr>
        <w:t>※对违反评标纪律的评委，将取消其评委资格，对评标工作造成严重损失者将予以通报批评乃至追究法律责任。</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6、评标程序</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6.1评标前的准备工作</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（1）全体评委应认真审阅招标文件，了解评委应履行或遵守的职责、义务和评标纪律。</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6.2符合性审查</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（1）评标委员会依据招标文件的实质性要求，对通过资格审查的电子投标文件进行符合性审查，以确定其是否满足招标文件的实质性要求。</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（2）满足招标文件的实质性要求指电子投标文件对招标文件实质性要求的响应不存在重大偏差或保留。</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（5）评标委员会对所有投标人都执行相同的程序和标准。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w:t>
      </w:r>
      <w:r>
        <w:rPr>
          <w:rStyle w:val="10"/>
          <w:rFonts w:hint="eastAsia" w:ascii="宋体" w:hAnsi="宋体" w:eastAsia="宋体" w:cs="宋体"/>
          <w:b/>
          <w:bCs/>
          <w:spacing w:val="0"/>
          <w:sz w:val="24"/>
          <w:szCs w:val="24"/>
        </w:rPr>
        <w:t>符合性审查不合格：</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①项目一般情形：</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5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b/>
                <w:bCs/>
              </w:rPr>
            </w:pPr>
            <w:r>
              <w:rPr>
                <w:rFonts w:ascii="宋体" w:hAnsi="宋体" w:eastAsia="宋体" w:cs="宋体"/>
                <w:b/>
                <w:bCs/>
                <w:kern w:val="0"/>
                <w:sz w:val="24"/>
                <w:szCs w:val="24"/>
                <w:bdr w:val="none" w:color="auto" w:sz="0" w:space="0"/>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投标文件对招标文件实质性要求的响应存在重大偏离或保留。</w:t>
            </w:r>
          </w:p>
        </w:tc>
      </w:tr>
    </w:tbl>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②本项目规定的其他情形：</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包：1</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包一般情形</w:t>
      </w:r>
      <w:r>
        <w:br w:type="textWrapping"/>
      </w:r>
      <w:r>
        <w:rPr>
          <w:rStyle w:val="10"/>
          <w:b/>
          <w:bCs/>
          <w:sz w:val="24"/>
          <w:szCs w:val="24"/>
        </w:rPr>
        <w:t>         无</w:t>
      </w: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技术符合性</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5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b/>
                <w:bCs/>
              </w:rPr>
            </w:pPr>
            <w:r>
              <w:rPr>
                <w:rFonts w:ascii="宋体" w:hAnsi="宋体" w:eastAsia="宋体" w:cs="宋体"/>
                <w:b/>
                <w:bCs/>
                <w:kern w:val="0"/>
                <w:sz w:val="24"/>
                <w:szCs w:val="24"/>
                <w:bdr w:val="none" w:color="auto" w:sz="0" w:space="0"/>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投标人必须对招标文件【第五章 招标内容及要求中“二、技术和服务要求”】逐项进行应答，如实说明正、负偏离情况，提供《技术和服务要求响应表》：以“★”标示的内容为不允许负偏离的实质性要求，若负偏离则投标无效。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技术部分中不得出现报价部分的全部或部分的投标报价信息（或组成资料），否则符合性审查不合格。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投标人技术部分的实际得分少于招标文件设定的技术部分总分50%的（适用于综合评分法）。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违反招标文件中载明“投标无效”条款的规定或不符合招标文件规定的其它实质性要求。</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商务符合性</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5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rPr>
                <w:b/>
                <w:bCs/>
              </w:rPr>
            </w:pPr>
            <w:r>
              <w:rPr>
                <w:rFonts w:ascii="宋体" w:hAnsi="宋体" w:eastAsia="宋体" w:cs="宋体"/>
                <w:b/>
                <w:bCs/>
                <w:kern w:val="0"/>
                <w:sz w:val="24"/>
                <w:szCs w:val="24"/>
                <w:bdr w:val="none" w:color="auto" w:sz="0" w:space="0"/>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投标人的投标文件不满足招标文件“第五章 三、商务条件”中的任何一项要求的，其投标无效。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商务部分中不得出现报价部分的全部或部分的投标报价信息（或组成资料），否则符合性审查不合格。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违反招标文件中载明“投标无效”条款的规定或不符合招标文件规定的其它实质性要求。</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附加符合性</w:t>
      </w:r>
      <w:r>
        <w:rPr>
          <w:rFonts w:ascii="宋体" w:hAnsi="宋体" w:eastAsia="宋体" w:cs="宋体"/>
          <w:kern w:val="0"/>
          <w:sz w:val="24"/>
          <w:szCs w:val="24"/>
          <w:lang w:val="en-US" w:eastAsia="zh-CN" w:bidi="ar"/>
        </w:rPr>
        <w:br w:type="textWrapping"/>
      </w:r>
      <w:r>
        <w:rPr>
          <w:rStyle w:val="10"/>
          <w:rFonts w:ascii="宋体" w:hAnsi="宋体" w:eastAsia="宋体" w:cs="宋体"/>
          <w:b/>
          <w:bCs/>
          <w:kern w:val="0"/>
          <w:sz w:val="24"/>
          <w:szCs w:val="24"/>
          <w:lang w:val="en-US" w:eastAsia="zh-CN" w:bidi="ar"/>
        </w:rPr>
        <w:t>         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价格符合性</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6.3澄清有关问题</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（1）对通过符合性审查的电子投标文件中含义不明确、同类问题表述不一致或有明显文字和计算错误的内容，评标委员会将以书面形式要求投标人作出必要的澄清、说明或补正。</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（3）电子投标文件报价出现前后不一致的，除招标文件另有规定外，按照下列规定修正：</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①开标一览表内容与电子投标文件中相应内容不一致的，以开标一览表为准；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②大写金额和小写金额不一致的，以大写金额为准；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③单价金额小数点或百分比有明显错位的，以开标一览表的总价为准，并修改单价；</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④总价金额与按照单价汇总金额不一致的，以单价金额计算结果为准。</w:t>
      </w:r>
    </w:p>
    <w:p>
      <w:pPr>
        <w:pStyle w:val="7"/>
        <w:keepNext w:val="0"/>
        <w:keepLines w:val="0"/>
        <w:widowControl/>
        <w:suppressLineNumbers w:val="0"/>
        <w:spacing w:before="75" w:beforeAutospacing="0" w:after="75" w:afterAutospacing="0"/>
        <w:ind w:left="0" w:right="0" w:firstLine="480"/>
      </w:pPr>
      <w:r>
        <w:rPr>
          <w:rStyle w:val="10"/>
          <w:rFonts w:hint="eastAsia" w:ascii="宋体" w:hAnsi="宋体" w:eastAsia="宋体" w:cs="宋体"/>
          <w:b/>
          <w:bCs/>
          <w:spacing w:val="0"/>
          <w:sz w:val="24"/>
          <w:szCs w:val="24"/>
        </w:rPr>
        <w:t>※同时出现两种以上不一致的，按照前款规定的顺序修正。修正后的报价应按照本章第</w:t>
      </w:r>
      <w:r>
        <w:rPr>
          <w:rStyle w:val="10"/>
          <w:rFonts w:hint="default" w:ascii="Calibri" w:hAnsi="Calibri" w:cs="Calibri"/>
          <w:b/>
          <w:bCs/>
          <w:spacing w:val="0"/>
          <w:sz w:val="24"/>
          <w:szCs w:val="24"/>
        </w:rPr>
        <w:t>6.3</w:t>
      </w:r>
      <w:r>
        <w:rPr>
          <w:rStyle w:val="10"/>
          <w:rFonts w:hint="eastAsia" w:ascii="宋体" w:hAnsi="宋体" w:eastAsia="宋体" w:cs="宋体"/>
          <w:b/>
          <w:bCs/>
          <w:spacing w:val="0"/>
          <w:sz w:val="24"/>
          <w:szCs w:val="24"/>
        </w:rPr>
        <w:t>条第（</w:t>
      </w:r>
      <w:r>
        <w:rPr>
          <w:rStyle w:val="10"/>
          <w:rFonts w:hint="default" w:ascii="Calibri" w:hAnsi="Calibri" w:cs="Calibri"/>
          <w:b/>
          <w:bCs/>
          <w:spacing w:val="0"/>
          <w:sz w:val="24"/>
          <w:szCs w:val="24"/>
        </w:rPr>
        <w:t>1</w:t>
      </w:r>
      <w:r>
        <w:rPr>
          <w:rStyle w:val="10"/>
          <w:rFonts w:hint="eastAsia" w:ascii="宋体" w:hAnsi="宋体" w:eastAsia="宋体" w:cs="宋体"/>
          <w:b/>
          <w:bCs/>
          <w:spacing w:val="0"/>
          <w:sz w:val="24"/>
          <w:szCs w:val="24"/>
        </w:rPr>
        <w:t>）、（</w:t>
      </w:r>
      <w:r>
        <w:rPr>
          <w:rStyle w:val="10"/>
          <w:rFonts w:hint="default" w:ascii="Calibri" w:hAnsi="Calibri" w:cs="Calibri"/>
          <w:b/>
          <w:bCs/>
          <w:spacing w:val="0"/>
          <w:sz w:val="24"/>
          <w:szCs w:val="24"/>
        </w:rPr>
        <w:t>2</w:t>
      </w:r>
      <w:r>
        <w:rPr>
          <w:rStyle w:val="10"/>
          <w:rFonts w:hint="eastAsia" w:ascii="宋体" w:hAnsi="宋体" w:eastAsia="宋体" w:cs="宋体"/>
          <w:b/>
          <w:bCs/>
          <w:spacing w:val="0"/>
          <w:sz w:val="24"/>
          <w:szCs w:val="24"/>
        </w:rPr>
        <w:t>）款规定经投标人确认后产生约束力，投标人不确认的，其投标无效。</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（4）关于细微偏差</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②评标委员会将以书面形式要求存在细微偏差的投标人在评标委员会规定的时间内予以补正。若无法补正，则评标委员会将按照不利于投标人的内容进行认定。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（5）关于投标描述（即电子投标文件中描述的内容）</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①投标描述前后不一致且不涉及证明材料的：按照本章第</w:t>
      </w:r>
      <w:r>
        <w:rPr>
          <w:rFonts w:hint="default" w:ascii="Calibri" w:hAnsi="Calibri" w:cs="Calibri"/>
          <w:spacing w:val="0"/>
          <w:sz w:val="24"/>
          <w:szCs w:val="24"/>
        </w:rPr>
        <w:t>6.3</w:t>
      </w:r>
      <w:r>
        <w:rPr>
          <w:rFonts w:hint="eastAsia" w:ascii="宋体" w:hAnsi="宋体" w:eastAsia="宋体" w:cs="宋体"/>
          <w:spacing w:val="0"/>
          <w:sz w:val="24"/>
          <w:szCs w:val="24"/>
        </w:rPr>
        <w:t>条第（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）款规定执行。</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②投标描述与证明材料不一致或多份证明材料之间不一致的：</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a.评标委员会将要求投标人进行书面澄清，并按照不利于投标人的内容进行评标。</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6.4比较与评价</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（1）按照本章第</w:t>
      </w:r>
      <w:r>
        <w:rPr>
          <w:rFonts w:hint="default" w:ascii="Calibri" w:hAnsi="Calibri" w:cs="Calibri"/>
          <w:spacing w:val="0"/>
          <w:sz w:val="24"/>
          <w:szCs w:val="24"/>
        </w:rPr>
        <w:t>7</w:t>
      </w:r>
      <w:r>
        <w:rPr>
          <w:rFonts w:hint="eastAsia" w:ascii="宋体" w:hAnsi="宋体" w:eastAsia="宋体" w:cs="宋体"/>
          <w:spacing w:val="0"/>
          <w:sz w:val="24"/>
          <w:szCs w:val="24"/>
        </w:rPr>
        <w:t>条载明的评标方法和标准，对符合性审查合格的电子投标文件进行比较与评价。</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（2）关于相同品牌产品</w:t>
      </w:r>
      <w:r>
        <w:rPr>
          <w:rStyle w:val="10"/>
          <w:rFonts w:hint="eastAsia" w:ascii="宋体" w:hAnsi="宋体" w:eastAsia="宋体" w:cs="宋体"/>
          <w:b/>
          <w:bCs/>
          <w:spacing w:val="0"/>
          <w:sz w:val="24"/>
          <w:szCs w:val="24"/>
        </w:rPr>
        <w:t>（政府采购服务类项目不适用本条款规定）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无</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w:t>
      </w:r>
      <w:r>
        <w:rPr>
          <w:rStyle w:val="10"/>
          <w:rFonts w:hint="eastAsia" w:ascii="宋体" w:hAnsi="宋体" w:eastAsia="宋体" w:cs="宋体"/>
          <w:b/>
          <w:bCs/>
          <w:spacing w:val="0"/>
          <w:sz w:val="24"/>
          <w:szCs w:val="24"/>
        </w:rPr>
        <w:t>投标无效。</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无</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b.招标文件未规定的，采取随机抽取方式确定，其他同品牌投标人不作为中标候选人。</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③非单一产品采购项目，多家投标人提供的核心产品品牌相同的，按照本章第</w:t>
      </w:r>
      <w:r>
        <w:rPr>
          <w:rFonts w:hint="default" w:ascii="Calibri" w:hAnsi="Calibri" w:cs="Calibri"/>
          <w:spacing w:val="0"/>
          <w:sz w:val="24"/>
          <w:szCs w:val="24"/>
        </w:rPr>
        <w:t>6.4</w:t>
      </w:r>
      <w:r>
        <w:rPr>
          <w:rFonts w:hint="eastAsia" w:ascii="宋体" w:hAnsi="宋体" w:eastAsia="宋体" w:cs="宋体"/>
          <w:spacing w:val="0"/>
          <w:sz w:val="24"/>
          <w:szCs w:val="24"/>
        </w:rPr>
        <w:t>条第（</w:t>
      </w:r>
      <w:r>
        <w:rPr>
          <w:rFonts w:hint="default" w:ascii="Calibri" w:hAnsi="Calibri" w:cs="Calibri"/>
          <w:spacing w:val="0"/>
          <w:sz w:val="24"/>
          <w:szCs w:val="24"/>
        </w:rPr>
        <w:t>2</w:t>
      </w:r>
      <w:r>
        <w:rPr>
          <w:rFonts w:hint="eastAsia" w:ascii="宋体" w:hAnsi="宋体" w:eastAsia="宋体" w:cs="宋体"/>
          <w:spacing w:val="0"/>
          <w:sz w:val="24"/>
          <w:szCs w:val="24"/>
        </w:rPr>
        <w:t>）款第①、②规定处理。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（3）漏（缺）项</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①招标文件中要求列入报价的费用（含配置、功能），漏（缺）项的报价视为已经包括在投标总价中。</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②对多报项及赠送项的价格评标时不予核减，全部进入评标价评议。</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6.5推荐中标候选人：详见本章第</w:t>
      </w:r>
      <w:r>
        <w:rPr>
          <w:rFonts w:hint="default" w:ascii="Calibri" w:hAnsi="Calibri" w:cs="Calibri"/>
          <w:spacing w:val="0"/>
          <w:sz w:val="24"/>
          <w:szCs w:val="24"/>
        </w:rPr>
        <w:t>7.2</w:t>
      </w:r>
      <w:r>
        <w:rPr>
          <w:rFonts w:hint="eastAsia" w:ascii="宋体" w:hAnsi="宋体" w:eastAsia="宋体" w:cs="宋体"/>
          <w:spacing w:val="0"/>
          <w:sz w:val="24"/>
          <w:szCs w:val="24"/>
        </w:rPr>
        <w:t>条规定。</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6.6编写评标报告</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（1）评标报告由评标委员会负责编写。</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（2）评标报告应包括下列内容：</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①招标公告刊登的媒体名称、开标日期和地点；</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②投标人名单和评标委员会成员名单；</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③评标方法和标准；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④开标记录和评标情况及说明，包括无效投标人名单及原因；</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⑤评标结果，包括中标候选人名单或确定的中标人；</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⑥其他需要说明的情况，包括但不限于：评标过程中投标人的澄清、说明或补正，评委更换等。</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10"/>
          <w:rFonts w:hint="eastAsia" w:ascii="宋体" w:hAnsi="宋体" w:eastAsia="宋体" w:cs="宋体"/>
          <w:b/>
          <w:bCs/>
          <w:spacing w:val="0"/>
          <w:sz w:val="24"/>
          <w:szCs w:val="24"/>
        </w:rPr>
        <w:t>投标无效</w:t>
      </w:r>
      <w:r>
        <w:rPr>
          <w:rFonts w:hint="eastAsia" w:ascii="宋体" w:hAnsi="宋体" w:eastAsia="宋体" w:cs="宋体"/>
          <w:spacing w:val="0"/>
          <w:sz w:val="24"/>
          <w:szCs w:val="24"/>
        </w:rPr>
        <w:t>处理。</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6.8评委对需要共同认定的事项存在争议的，应按照少数服从多数的原则进行认定。</w:t>
      </w:r>
      <w:r>
        <w:rPr>
          <w:rStyle w:val="10"/>
          <w:rFonts w:hint="eastAsia" w:ascii="宋体" w:hAnsi="宋体" w:eastAsia="宋体" w:cs="宋体"/>
          <w:b/>
          <w:bCs/>
          <w:spacing w:val="0"/>
          <w:sz w:val="24"/>
          <w:szCs w:val="24"/>
        </w:rPr>
        <w:t>持不同意见的评委应在评标报告上签署不同意见及理由，否则视为同意评标报告。</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6.9在评标过程中发现投标人有下列情形之一的，评标委员会应认定其</w:t>
      </w:r>
      <w:r>
        <w:rPr>
          <w:rStyle w:val="10"/>
          <w:rFonts w:hint="eastAsia" w:ascii="宋体" w:hAnsi="宋体" w:eastAsia="宋体" w:cs="宋体"/>
          <w:b/>
          <w:bCs/>
          <w:spacing w:val="0"/>
          <w:sz w:val="24"/>
          <w:szCs w:val="24"/>
        </w:rPr>
        <w:t>投标无效</w:t>
      </w:r>
      <w:r>
        <w:rPr>
          <w:rFonts w:hint="eastAsia" w:ascii="宋体" w:hAnsi="宋体" w:eastAsia="宋体" w:cs="宋体"/>
          <w:spacing w:val="0"/>
          <w:sz w:val="24"/>
          <w:szCs w:val="24"/>
        </w:rPr>
        <w:t>，并书面报告本项目监督管理部门：</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（1）恶意串通（包括但不限于招标文件第三章第</w:t>
      </w:r>
      <w:r>
        <w:rPr>
          <w:rFonts w:hint="default" w:ascii="Calibri" w:hAnsi="Calibri" w:cs="Calibri"/>
          <w:spacing w:val="0"/>
          <w:sz w:val="24"/>
          <w:szCs w:val="24"/>
        </w:rPr>
        <w:t>9.7</w:t>
      </w:r>
      <w:r>
        <w:rPr>
          <w:rFonts w:hint="eastAsia" w:ascii="宋体" w:hAnsi="宋体" w:eastAsia="宋体" w:cs="宋体"/>
          <w:spacing w:val="0"/>
          <w:sz w:val="24"/>
          <w:szCs w:val="24"/>
        </w:rPr>
        <w:t>条规定情形）；</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（2）妨碍其他投标人的竞争行为；</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（3）损害采购人或其他投标人的合法权益。</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6.10评标过程中，有下列情形之一的，应予废标：</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（1）符合性审查合格的投标人不足三家的；</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（2）有关法律、法规和规章规定废标的情形。</w:t>
      </w:r>
    </w:p>
    <w:p>
      <w:pPr>
        <w:pStyle w:val="7"/>
        <w:keepNext w:val="0"/>
        <w:keepLines w:val="0"/>
        <w:widowControl/>
        <w:suppressLineNumbers w:val="0"/>
        <w:spacing w:before="75" w:beforeAutospacing="0" w:after="75" w:afterAutospacing="0"/>
        <w:ind w:left="0" w:right="0" w:firstLine="480"/>
      </w:pPr>
      <w:r>
        <w:rPr>
          <w:rStyle w:val="10"/>
          <w:rFonts w:hint="eastAsia" w:ascii="宋体" w:hAnsi="宋体" w:eastAsia="宋体" w:cs="宋体"/>
          <w:b/>
          <w:bCs/>
          <w:spacing w:val="0"/>
          <w:sz w:val="24"/>
          <w:szCs w:val="24"/>
        </w:rPr>
        <w:t>※若废标，则本次采购活动结束，</w:t>
      </w:r>
      <w:r>
        <w:rPr>
          <w:rFonts w:hint="eastAsia" w:ascii="宋体" w:hAnsi="宋体" w:eastAsia="宋体" w:cs="宋体"/>
          <w:spacing w:val="0"/>
          <w:sz w:val="24"/>
          <w:szCs w:val="24"/>
          <w:u w:val="single"/>
        </w:rPr>
        <w:t>福建省君平建设管理有限公司</w:t>
      </w:r>
      <w:r>
        <w:rPr>
          <w:rStyle w:val="10"/>
          <w:rFonts w:hint="eastAsia" w:ascii="宋体" w:hAnsi="宋体" w:eastAsia="宋体" w:cs="宋体"/>
          <w:b/>
          <w:bCs/>
          <w:spacing w:val="0"/>
          <w:sz w:val="24"/>
          <w:szCs w:val="24"/>
        </w:rPr>
        <w:t>将依法组织后续采购活动（包括但不限于：重新招标、采用其他方式采购等）。</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7、评标方法和标准</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7.1评标方法：</w:t>
      </w:r>
      <w:r>
        <w:rPr>
          <w:spacing w:val="0"/>
          <w:sz w:val="24"/>
          <w:szCs w:val="24"/>
        </w:rPr>
        <w:t> 项目包1采用综合评分法。</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7.2评标标准</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hd w:val="clear" w:fill="FFFFFF"/>
        <w:spacing w:before="0" w:beforeAutospacing="0" w:after="150" w:afterAutospacing="0"/>
        <w:ind w:left="0" w:right="0"/>
        <w:rPr>
          <w:rFonts w:hint="eastAsia" w:ascii="微软雅黑" w:hAnsi="微软雅黑" w:eastAsia="微软雅黑" w:cs="微软雅黑"/>
          <w:color w:val="393939"/>
          <w:sz w:val="19"/>
          <w:szCs w:val="19"/>
        </w:rPr>
      </w:pPr>
      <w:r>
        <w:rPr>
          <w:rStyle w:val="10"/>
          <w:rFonts w:hint="eastAsia" w:ascii="宋体" w:hAnsi="宋体" w:eastAsia="宋体" w:cs="宋体"/>
          <w:b/>
          <w:bCs/>
          <w:color w:val="393939"/>
          <w:sz w:val="24"/>
          <w:szCs w:val="24"/>
          <w:shd w:val="clear" w:fill="FFFFFF"/>
        </w:rPr>
        <w:t>采购包1采用综合评分法</w:t>
      </w:r>
      <w:r>
        <w:rPr>
          <w:rFonts w:hint="eastAsia" w:ascii="宋体" w:hAnsi="宋体" w:eastAsia="宋体" w:cs="宋体"/>
          <w:color w:val="393939"/>
          <w:sz w:val="24"/>
          <w:szCs w:val="24"/>
          <w:shd w:val="clear" w:fill="FFFFFF"/>
        </w:rPr>
        <w:t>：</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（2）每个投标人的评标总得分</w:t>
      </w:r>
      <w:r>
        <w:rPr>
          <w:rFonts w:hint="default" w:ascii="Calibri" w:hAnsi="Calibri" w:eastAsia="宋体" w:cs="Calibri"/>
          <w:sz w:val="24"/>
          <w:szCs w:val="24"/>
        </w:rPr>
        <w:t>FA</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（若有），其中：</w:t>
      </w:r>
      <w:r>
        <w:rPr>
          <w:rFonts w:hint="default" w:ascii="Calibri" w:hAnsi="Calibri" w:eastAsia="宋体" w:cs="Calibri"/>
          <w:sz w:val="24"/>
          <w:szCs w:val="24"/>
        </w:rPr>
        <w:t>F1</w:t>
      </w:r>
      <w:r>
        <w:rPr>
          <w:rFonts w:hint="eastAsia" w:ascii="宋体" w:hAnsi="宋体" w:eastAsia="宋体" w:cs="宋体"/>
          <w:sz w:val="24"/>
          <w:szCs w:val="24"/>
        </w:rPr>
        <w:t>指价格项评审因素得分、</w:t>
      </w:r>
      <w:r>
        <w:rPr>
          <w:rFonts w:hint="default" w:ascii="Calibri" w:hAnsi="Calibri" w:eastAsia="宋体" w:cs="Calibri"/>
          <w:sz w:val="24"/>
          <w:szCs w:val="24"/>
        </w:rPr>
        <w:t>F2</w:t>
      </w:r>
      <w:r>
        <w:rPr>
          <w:rFonts w:hint="eastAsia" w:ascii="宋体" w:hAnsi="宋体" w:eastAsia="宋体" w:cs="宋体"/>
          <w:sz w:val="24"/>
          <w:szCs w:val="24"/>
        </w:rPr>
        <w:t>指技术项评审因素得分、</w:t>
      </w:r>
      <w:r>
        <w:rPr>
          <w:rFonts w:hint="default" w:ascii="Calibri" w:hAnsi="Calibri" w:eastAsia="宋体" w:cs="Calibri"/>
          <w:sz w:val="24"/>
          <w:szCs w:val="24"/>
        </w:rPr>
        <w:t>F3</w:t>
      </w:r>
      <w:r>
        <w:rPr>
          <w:rFonts w:hint="eastAsia" w:ascii="宋体" w:hAnsi="宋体" w:eastAsia="宋体" w:cs="宋体"/>
          <w:sz w:val="24"/>
          <w:szCs w:val="24"/>
        </w:rPr>
        <w:t>指商务项评审因素得分，</w:t>
      </w:r>
      <w:r>
        <w:rPr>
          <w:rFonts w:hint="default" w:ascii="Calibri" w:hAnsi="Calibri" w:eastAsia="宋体" w:cs="Calibri"/>
          <w:sz w:val="24"/>
          <w:szCs w:val="24"/>
        </w:rPr>
        <w:t>A1</w:t>
      </w:r>
      <w:r>
        <w:rPr>
          <w:rFonts w:hint="eastAsia" w:ascii="宋体" w:hAnsi="宋体" w:eastAsia="宋体" w:cs="宋体"/>
          <w:sz w:val="24"/>
          <w:szCs w:val="24"/>
        </w:rPr>
        <w:t>指价格项评审因素所占的权重、</w:t>
      </w:r>
      <w:r>
        <w:rPr>
          <w:rFonts w:hint="default" w:ascii="Calibri" w:hAnsi="Calibri" w:eastAsia="宋体" w:cs="Calibri"/>
          <w:sz w:val="24"/>
          <w:szCs w:val="24"/>
        </w:rPr>
        <w:t>A2</w:t>
      </w:r>
      <w:r>
        <w:rPr>
          <w:rFonts w:hint="eastAsia" w:ascii="宋体" w:hAnsi="宋体" w:eastAsia="宋体" w:cs="宋体"/>
          <w:sz w:val="24"/>
          <w:szCs w:val="24"/>
        </w:rPr>
        <w:t>指技术项评审因素所占的权重、</w:t>
      </w:r>
      <w:r>
        <w:rPr>
          <w:rFonts w:hint="default" w:ascii="Calibri" w:hAnsi="Calibri" w:eastAsia="宋体" w:cs="Calibri"/>
          <w:sz w:val="24"/>
          <w:szCs w:val="24"/>
        </w:rPr>
        <w:t>A3</w:t>
      </w:r>
      <w:r>
        <w:rPr>
          <w:rFonts w:hint="eastAsia" w:ascii="宋体" w:hAnsi="宋体" w:eastAsia="宋体" w:cs="宋体"/>
          <w:sz w:val="24"/>
          <w:szCs w:val="24"/>
        </w:rPr>
        <w:t>指商务项评审因素所占的权重，</w:t>
      </w:r>
      <w:r>
        <w:rPr>
          <w:rFonts w:hint="default" w:ascii="Calibri" w:hAnsi="Calibri" w:eastAsia="宋体" w:cs="Calibri"/>
          <w:sz w:val="24"/>
          <w:szCs w:val="24"/>
        </w:rPr>
        <w:t>A1+A2+A3=1</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A3=100</w:t>
      </w:r>
      <w:r>
        <w:rPr>
          <w:rFonts w:hint="eastAsia" w:ascii="宋体" w:hAnsi="宋体" w:eastAsia="宋体" w:cs="宋体"/>
          <w:sz w:val="24"/>
          <w:szCs w:val="24"/>
        </w:rPr>
        <w:t>分（满分时），</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为加分项（即优先类节能产品、环境标志产品在采购活动中可享有的加分优惠）。</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（3）各项评审因素的设置如下：</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①价格项（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）满分为</w:t>
      </w:r>
      <w:r>
        <w:rPr>
          <w:rFonts w:hint="eastAsia" w:ascii="宋体" w:hAnsi="宋体" w:eastAsia="宋体" w:cs="宋体"/>
          <w:sz w:val="24"/>
          <w:szCs w:val="24"/>
          <w:u w:val="single"/>
        </w:rPr>
        <w:t>30</w:t>
      </w:r>
      <w:r>
        <w:rPr>
          <w:rFonts w:hint="eastAsia" w:ascii="宋体" w:hAnsi="宋体" w:eastAsia="宋体" w:cs="宋体"/>
          <w:sz w:val="24"/>
          <w:szCs w:val="24"/>
        </w:rPr>
        <w:t>分。</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sz w:val="24"/>
          <w:szCs w:val="24"/>
        </w:rPr>
        <w:t>=</w:t>
      </w:r>
      <w:r>
        <w:rPr>
          <w:rFonts w:hint="eastAsia" w:ascii="宋体" w:hAnsi="宋体" w:eastAsia="宋体" w:cs="宋体"/>
          <w:sz w:val="24"/>
          <w:szCs w:val="24"/>
        </w:rPr>
        <w:t>（评标基准价／投标报价）×</w:t>
      </w:r>
      <w:r>
        <w:rPr>
          <w:rFonts w:hint="default" w:ascii="Calibri" w:hAnsi="Calibri" w:eastAsia="宋体" w:cs="Calibri"/>
          <w:sz w:val="24"/>
          <w:szCs w:val="24"/>
        </w:rPr>
        <w:t>100</w:t>
      </w:r>
      <w:r>
        <w:rPr>
          <w:rFonts w:hint="eastAsia" w:ascii="宋体" w:hAnsi="宋体" w:eastAsia="宋体" w:cs="宋体"/>
          <w:sz w:val="24"/>
          <w:szCs w:val="24"/>
        </w:rPr>
        <w:t>。因落实政府采购政策需进行价格扣除的，以扣除后的价格计算评标基准价和投标报价。</w:t>
      </w:r>
    </w:p>
    <w:p>
      <w:pPr>
        <w:pStyle w:val="7"/>
        <w:keepNext w:val="0"/>
        <w:keepLines w:val="0"/>
        <w:widowControl/>
        <w:suppressLineNumbers w:val="0"/>
        <w:spacing w:before="0" w:beforeAutospacing="0" w:after="150" w:afterAutospacing="0"/>
        <w:ind w:left="0" w:right="0" w:firstLine="480"/>
      </w:pPr>
      <w:r>
        <w:rPr>
          <w:rFonts w:hint="default" w:ascii="Calibri" w:hAnsi="Calibri" w:cs="Calibri"/>
          <w:sz w:val="24"/>
          <w:szCs w:val="24"/>
        </w:rPr>
        <w:t>b.</w:t>
      </w:r>
      <w:r>
        <w:rPr>
          <w:rFonts w:hint="eastAsia" w:ascii="宋体" w:hAnsi="宋体" w:eastAsia="宋体" w:cs="宋体"/>
          <w:sz w:val="24"/>
          <w:szCs w:val="24"/>
        </w:rPr>
        <w:t>价格扣除的规则如下：</w:t>
      </w:r>
    </w:p>
    <w:p>
      <w:pPr>
        <w:pStyle w:val="7"/>
        <w:keepNext w:val="0"/>
        <w:keepLines w:val="0"/>
        <w:widowControl/>
        <w:suppressLineNumbers w:val="0"/>
        <w:spacing w:before="0" w:beforeAutospacing="0" w:after="150" w:afterAutospacing="0"/>
        <w:ind w:left="0" w:right="0" w:firstLine="480"/>
      </w:pPr>
      <w:r>
        <w:br w:type="textWrapping"/>
      </w:r>
      <w:r>
        <w:rPr>
          <w:rStyle w:val="10"/>
          <w:b/>
          <w:bCs/>
          <w:sz w:val="24"/>
          <w:szCs w:val="24"/>
        </w:rPr>
        <w:t>         无</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②技术项（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）满分为</w:t>
      </w:r>
      <w:r>
        <w:rPr>
          <w:rFonts w:hint="eastAsia" w:ascii="宋体" w:hAnsi="宋体" w:eastAsia="宋体" w:cs="宋体"/>
          <w:sz w:val="24"/>
          <w:szCs w:val="24"/>
          <w:u w:val="single"/>
        </w:rPr>
        <w:t>55</w:t>
      </w:r>
      <w:r>
        <w:rPr>
          <w:rFonts w:hint="eastAsia" w:ascii="宋体" w:hAnsi="宋体" w:eastAsia="宋体" w:cs="宋体"/>
          <w:sz w:val="24"/>
          <w:szCs w:val="24"/>
        </w:rPr>
        <w:t>分。</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09"/>
        <w:gridCol w:w="409"/>
        <w:gridCol w:w="749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评标项目</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评标分值</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46</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完全响应招标文件第五章“技术和服务要求”的得46分，带▲的技术参数（共1项），有不响应或负偏离的每项扣3分（合计3分）；其余技术参数(共336项)有不响应或者负偏离的每项扣0.128分（合计43分），正偏离不加分。 注：技术参数要求中有明确要求提供佐证材料的，以条款要求的证明文件为准；未明确的，投标人可以提供产品彩页、样册、使用手册、技术说明书、官方网页、检测报告或可靠来源的技术参数说明等作为佐证材料。投标人技术部分的实际得分少于招标文件设定的技术部分总分50%的视为未实质性响应招标文件要求，其投标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根据1-23“力传感器”技术要求：数据传输采用具有方向性和自锁功能的BT接口方式；可通过传感器自带的硬件调零按钮实现数据调零功能； 提供省级或省级以上相关检测机构带有CMA标识的检测报告复印件加盖投标人公章，未按要求提供或提供不全得 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根据1-28“多量程电流传感器”技术要求：可通过传感器自带的硬件调零按钮实现数据调零功能；多量程电流传感器可通过传感器上按钮对量程进行切换；数据传输采用具有方向性和自锁功能的BT接口方式； 提供省级或省级以上相关检测机构带有CMA标识的检测报告复印件加盖投标人公章，未按要求提供或提供不全得 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根据1-29“多量程电压传感器”技术要求：可通过传感器自带的硬件调零按钮实现数据调零功能；多量程电压传感器可通过传感器上按钮对量程进行切换；数据传输采用具有方向性和自锁功能的BT接口方式； 提供省级或省级以上相关检测机构带有CMA标识的检测报告复印件加盖投标人公章，未按要求提供或提供不全得 0分。</w:t>
            </w:r>
          </w:p>
        </w:tc>
      </w:tr>
    </w:tbl>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③商务项（</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）满分为</w:t>
      </w:r>
      <w:r>
        <w:rPr>
          <w:rFonts w:hint="eastAsia" w:ascii="宋体" w:hAnsi="宋体" w:eastAsia="宋体" w:cs="宋体"/>
          <w:sz w:val="24"/>
          <w:szCs w:val="24"/>
          <w:u w:val="single"/>
        </w:rPr>
        <w:t>15</w:t>
      </w:r>
      <w:r>
        <w:rPr>
          <w:rFonts w:hint="eastAsia" w:ascii="宋体" w:hAnsi="宋体" w:eastAsia="宋体" w:cs="宋体"/>
          <w:sz w:val="24"/>
          <w:szCs w:val="24"/>
        </w:rPr>
        <w:t>分。</w:t>
      </w:r>
    </w:p>
    <w:tbl>
      <w:tblP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365"/>
        <w:gridCol w:w="365"/>
        <w:gridCol w:w="7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Header/>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评标项目</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评标分值</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通过质量管理体系认证且在有效期内的得1分，需提供认证证书有效复印件、中国国家认证认可监督管理委员会(http://www.cnca.gov.cn)或中国合格评定国家认可委员会(https://www.cnas.org.cn)网站的查询截图并注明查询链接，评标过程中如发现响应人提供的查询截图的信息与网站链接信息不一致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通过环境管理体系认证且在有效期内的得1分，需提供认证证书有效复印件、中国国家认证认可监督管理委员会(http://www.cnca.gov.cn)或中国合格评定国家认可委员会(https://www.cnas.org.cn)网站的查询截图并注明查询链接，评标过程中如发现响应人提供的查询截图的信息与网站链接信息不一致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通过职业健康管理体系认证且在有效期内的得1分，需提供认证证书有效复印件、中国国家认证认可监督管理委员会(http://www.cnca.gov.cn)或中国合格评定国家认可委员会(https://www.cnas.org.cn)网站的查询截图并注明查询链接，评标过程中如发现响应人提供的查询截图的信息与网站链接信息不一致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根据投标人提供技术培训进行综合评价。 ①投标人提供详实的材料证明其能够提供完善的培训服务的(包括:培训周期长、培训内容丰富、培训师资力量强、有专门的培训场地 )的得3分； ②投标人提供了培训服务情况，但资料显示其培训队伍机构松散，培训周期短，培训内容浅薄，培训场地简陋的得1.5分； ③投标人未对培训服务情况进行描述或提供材料的得0分。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质保期：投标产品质保期在满足招标要求的基础上，每增加1年的加1分，满分3分。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售后服务：根据各投标人的售后服务承诺、维护响应计划进行评分，包括具体的售后服务内容、故障响应时间、响应方式等方面进行评议，满足招标文件要求的不得分，服务内容详细，响应方式明确，有响应时间及到场维护时间快且合理的得3分；服务内容详细，响应方式明确，有响应时间及到场维护时间较快且合理的得2分；服务内容简单，有响应方式，有响应时间及到场维护时间的得1分；未提供或提供不全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提交2019年以来取得与本项目同类项目业绩，每提供一份得1.5分，满分3分。供应商须提供该业绩项目的中标（成交）公告（提供相关网站的下载网页及其网址）、中标（成交）通知书、采购合同文本以及能够证明该业绩项目已经采购单位验收合格的相关证明文件复印件，并罗列业绩清单。未能提供业绩的或业绩资料提供不齐全，不得分。（满分3分 ）</w:t>
            </w:r>
          </w:p>
        </w:tc>
      </w:tr>
    </w:tbl>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④加分项（</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a.优先类节能产品、环境标志产品：</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a1若同一采购包内节能、环境标志产品报价总金额低于该采购包报价总金额</w:t>
      </w:r>
      <w:r>
        <w:rPr>
          <w:rFonts w:hint="default" w:ascii="Calibri" w:hAnsi="Calibri" w:eastAsia="宋体" w:cs="Calibri"/>
          <w:sz w:val="24"/>
          <w:szCs w:val="24"/>
        </w:rPr>
        <w:t>20%</w:t>
      </w:r>
      <w:r>
        <w:rPr>
          <w:rFonts w:hint="eastAsia" w:ascii="宋体" w:hAnsi="宋体" w:eastAsia="宋体" w:cs="宋体"/>
          <w:sz w:val="24"/>
          <w:szCs w:val="24"/>
        </w:rPr>
        <w:t>（含</w:t>
      </w:r>
      <w:r>
        <w:rPr>
          <w:rFonts w:hint="default" w:ascii="Calibri" w:hAnsi="Calibri" w:eastAsia="宋体" w:cs="Calibri"/>
          <w:sz w:val="24"/>
          <w:szCs w:val="24"/>
        </w:rPr>
        <w:t>20%</w:t>
      </w:r>
      <w:r>
        <w:rPr>
          <w:rFonts w:hint="eastAsia" w:ascii="宋体" w:hAnsi="宋体" w:eastAsia="宋体" w:cs="宋体"/>
          <w:sz w:val="24"/>
          <w:szCs w:val="24"/>
        </w:rPr>
        <w:t>）以下，将分别给予节能、环境标志产品价格项（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4%</w:t>
      </w:r>
      <w:r>
        <w:rPr>
          <w:rFonts w:hint="eastAsia" w:ascii="宋体" w:hAnsi="宋体" w:eastAsia="宋体" w:cs="宋体"/>
          <w:sz w:val="24"/>
          <w:szCs w:val="24"/>
        </w:rPr>
        <w:t>的加分；若同一采购包内节能、环境标志产品报价总金额占该采购包报价总金额</w:t>
      </w:r>
      <w:r>
        <w:rPr>
          <w:rFonts w:hint="default" w:ascii="Calibri" w:hAnsi="Calibri" w:eastAsia="宋体" w:cs="Calibri"/>
          <w:sz w:val="24"/>
          <w:szCs w:val="24"/>
        </w:rPr>
        <w:t>20%-50%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6%</w:t>
      </w:r>
      <w:r>
        <w:rPr>
          <w:rFonts w:hint="eastAsia" w:ascii="宋体" w:hAnsi="宋体" w:eastAsia="宋体" w:cs="宋体"/>
          <w:sz w:val="24"/>
          <w:szCs w:val="24"/>
        </w:rPr>
        <w:t>的加分；若同一采购包内节能、环境标志产品报价总金额占该采购包报价总金额</w:t>
      </w:r>
      <w:r>
        <w:rPr>
          <w:rFonts w:hint="default" w:ascii="Calibri" w:hAnsi="Calibri" w:eastAsia="宋体" w:cs="Calibri"/>
          <w:sz w:val="24"/>
          <w:szCs w:val="24"/>
        </w:rPr>
        <w:t>50%</w:t>
      </w:r>
      <w:r>
        <w:rPr>
          <w:rFonts w:hint="eastAsia" w:ascii="宋体" w:hAnsi="宋体" w:eastAsia="宋体" w:cs="宋体"/>
          <w:sz w:val="24"/>
          <w:szCs w:val="24"/>
        </w:rPr>
        <w:t>以上的，将分别给予节能、环境标志产品价格项（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8%</w:t>
      </w:r>
      <w:r>
        <w:rPr>
          <w:rFonts w:hint="eastAsia" w:ascii="宋体" w:hAnsi="宋体" w:eastAsia="宋体" w:cs="宋体"/>
          <w:sz w:val="24"/>
          <w:szCs w:val="24"/>
        </w:rPr>
        <w:t>的加分。</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a2若节能、环境标志产品仅是构成投标产品的部件、组件或零件，则该投标产品不享受鼓励优惠政策。同一品目中各认证证书不重复计算加分。强制类节能产品不享受加分。</w:t>
      </w:r>
    </w:p>
    <w:tbl>
      <w:tblP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1389"/>
        <w:gridCol w:w="477"/>
        <w:gridCol w:w="6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Header/>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评标项目</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评标分值</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节能、环境标志产品在采购活动中可享有的加分优惠</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6.8</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1、执行《财政部 发展改革委 生态环境部 市场监管总局关于调整优化节能产品、环境标志产品政府采购执行机制的通知》（财库〔2019〕9号）、《市场监管总局关于发布参与实施政府采购节能产品、环境标志产品认证机构名录的公告》（2019年第16号）规定。 2、投标产品属于节能（非强制类）、环境标志产品清单内产品的将给予相应评标项总分值一定幅度的加分。 具体优惠幅度如下： （1）同一合同包内的节能（非强制类）、环境标志产品各报价总金额占本合同包报价总金额 20%（含20%）以下，价格评标项：价格评标项标准总分值4%的加分； 技术评标项：技术评标项标准总分值4%的加分。 （2）同一合同包内的节能（非强制类）、环境标志产品各报价总金额占本合同包报价总金额在20%-50%（含50%） 之间的，价格评标项：价格评标项标准总分值6%的加分； 技术评标项：技术评标项标准总分值6%的加分。（3）同一合同包内的节能（非强制类）、环境标志产品各报价总金额占本合同包报价总金额50%以上的， 价格评标项：价格评标项标准总分值8%的加分；技术评标项：技术评标项标准总分值8%的加分。 3、投标人在投标时必须对属于节能、环境标志产品单独在节能（非强制类）、环境标志产品统计表中填写，并提供产品的证明资料复印件并附在报价部分(电子证明资料应上传在对应评分模块)且加盖投标人公章。未单独分项报价或未按规定提供产品的证明资料的不给予加分。 4、同一品目中各认证证书不重复计算加分。 5、根据闽财购〔2010〕28号文规定，若节能、环境标志清单内的产品仅是构成投标产品的部件、组件或零件的，则该投标产品不享受鼓励优惠政策。</w:t>
            </w:r>
          </w:p>
        </w:tc>
      </w:tr>
    </w:tbl>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（4）中标候选人排列规则顺序如下：</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a.按照评标总得分（</w:t>
      </w:r>
      <w:r>
        <w:rPr>
          <w:rFonts w:hint="default" w:ascii="Calibri" w:hAnsi="Calibri" w:eastAsia="宋体" w:cs="Calibri"/>
          <w:sz w:val="24"/>
          <w:szCs w:val="24"/>
        </w:rPr>
        <w:t>FA</w:t>
      </w:r>
      <w:r>
        <w:rPr>
          <w:rFonts w:hint="eastAsia" w:ascii="宋体" w:hAnsi="宋体" w:eastAsia="宋体" w:cs="宋体"/>
          <w:sz w:val="24"/>
          <w:szCs w:val="24"/>
        </w:rPr>
        <w:t>）由高到低顺序排列。</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b.评标总得分（</w:t>
      </w:r>
      <w:r>
        <w:rPr>
          <w:rFonts w:hint="default" w:ascii="Calibri" w:hAnsi="Calibri" w:eastAsia="宋体" w:cs="Calibri"/>
          <w:sz w:val="24"/>
          <w:szCs w:val="24"/>
        </w:rPr>
        <w:t>FA</w:t>
      </w:r>
      <w:r>
        <w:rPr>
          <w:rFonts w:hint="eastAsia" w:ascii="宋体" w:hAnsi="宋体" w:eastAsia="宋体" w:cs="宋体"/>
          <w:sz w:val="24"/>
          <w:szCs w:val="24"/>
        </w:rPr>
        <w:t>）相同的，按照评标价（即价格扣除后的投标报价）由低到高顺序排列。</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c.评标总得分（</w:t>
      </w:r>
      <w:r>
        <w:rPr>
          <w:rFonts w:hint="default" w:ascii="Calibri" w:hAnsi="Calibri" w:eastAsia="宋体" w:cs="Calibri"/>
          <w:sz w:val="24"/>
          <w:szCs w:val="24"/>
        </w:rPr>
        <w:t>FA</w:t>
      </w:r>
      <w:r>
        <w:rPr>
          <w:rFonts w:hint="eastAsia" w:ascii="宋体" w:hAnsi="宋体" w:eastAsia="宋体" w:cs="宋体"/>
          <w:sz w:val="24"/>
          <w:szCs w:val="24"/>
        </w:rPr>
        <w:t>）且评标价（即价格扣除后的投标报价）相同的并列。</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8、其他规定</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8.1评标应全程保密且不得透露给任一投标人或与评标工作无关的人员。</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8.2评标将进行全程实时录音录像，录音录像资料随采购文件一并存档。</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8.3若投标人有任何试图干扰具体评标事务，影响评标委员会独立履行职责的行为，其投标无效且不予退还投标保证金。情节严重的，由财政部门列入不良行为记录。</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8.4其他：</w:t>
      </w:r>
      <w:r>
        <w:rPr>
          <w:spacing w:val="0"/>
          <w:sz w:val="24"/>
          <w:szCs w:val="24"/>
        </w:rPr>
        <w:t>无</w:t>
      </w:r>
    </w:p>
    <w:p>
      <w:pPr>
        <w:pStyle w:val="7"/>
        <w:keepNext w:val="0"/>
        <w:keepLines w:val="0"/>
        <w:widowControl/>
        <w:suppressLineNumbers w:val="0"/>
        <w:spacing w:before="75" w:beforeAutospacing="0" w:after="75" w:afterAutospacing="0"/>
        <w:ind w:left="0" w:right="0" w:firstLine="0"/>
        <w:jc w:val="center"/>
      </w:pPr>
      <w:r>
        <w:rPr>
          <w:spacing w:val="0"/>
          <w:sz w:val="24"/>
          <w:szCs w:val="24"/>
        </w:rPr>
        <w:t> </w:t>
      </w:r>
    </w:p>
    <w:p>
      <w:pPr>
        <w:pStyle w:val="7"/>
        <w:keepNext w:val="0"/>
        <w:keepLines w:val="0"/>
        <w:widowControl/>
        <w:suppressLineNumbers w:val="0"/>
        <w:spacing w:before="75" w:beforeAutospacing="0" w:after="75" w:afterAutospacing="0"/>
        <w:ind w:left="0" w:right="0" w:firstLine="0"/>
        <w:jc w:val="center"/>
        <w:rPr>
          <w:rFonts w:hint="eastAsia" w:ascii="宋体" w:hAnsi="宋体" w:eastAsia="宋体" w:cs="宋体"/>
          <w:spacing w:val="0"/>
          <w:sz w:val="24"/>
          <w:szCs w:val="24"/>
        </w:rPr>
      </w:pPr>
    </w:p>
    <w:p>
      <w:pPr>
        <w:pStyle w:val="7"/>
        <w:keepNext w:val="0"/>
        <w:keepLines w:val="0"/>
        <w:widowControl/>
        <w:suppressLineNumbers w:val="0"/>
        <w:spacing w:before="75" w:beforeAutospacing="0" w:after="75" w:afterAutospacing="0"/>
        <w:ind w:left="0" w:right="0" w:firstLine="0"/>
        <w:jc w:val="center"/>
        <w:rPr>
          <w:rFonts w:hint="eastAsia" w:ascii="宋体" w:hAnsi="宋体" w:eastAsia="宋体" w:cs="宋体"/>
          <w:spacing w:val="0"/>
          <w:sz w:val="24"/>
          <w:szCs w:val="24"/>
        </w:rPr>
      </w:pPr>
    </w:p>
    <w:p>
      <w:pPr>
        <w:pStyle w:val="7"/>
        <w:keepNext w:val="0"/>
        <w:keepLines w:val="0"/>
        <w:widowControl/>
        <w:suppressLineNumbers w:val="0"/>
        <w:spacing w:before="75" w:beforeAutospacing="0" w:after="75" w:afterAutospacing="0"/>
        <w:ind w:left="0" w:right="0" w:firstLine="0"/>
        <w:jc w:val="center"/>
        <w:rPr>
          <w:rFonts w:hint="eastAsia" w:ascii="宋体" w:hAnsi="宋体" w:eastAsia="宋体" w:cs="宋体"/>
          <w:spacing w:val="0"/>
          <w:sz w:val="24"/>
          <w:szCs w:val="24"/>
        </w:rPr>
      </w:pPr>
    </w:p>
    <w:p>
      <w:pPr>
        <w:pStyle w:val="7"/>
        <w:keepNext w:val="0"/>
        <w:keepLines w:val="0"/>
        <w:widowControl/>
        <w:suppressLineNumbers w:val="0"/>
        <w:spacing w:before="75" w:beforeAutospacing="0" w:after="75" w:afterAutospacing="0"/>
        <w:ind w:left="0" w:right="0" w:firstLine="0"/>
        <w:jc w:val="center"/>
        <w:rPr>
          <w:rFonts w:hint="eastAsia" w:ascii="宋体" w:hAnsi="宋体" w:eastAsia="宋体" w:cs="宋体"/>
          <w:spacing w:val="0"/>
          <w:sz w:val="24"/>
          <w:szCs w:val="24"/>
        </w:rPr>
      </w:pPr>
    </w:p>
    <w:p>
      <w:pPr>
        <w:pStyle w:val="7"/>
        <w:keepNext w:val="0"/>
        <w:keepLines w:val="0"/>
        <w:widowControl/>
        <w:suppressLineNumbers w:val="0"/>
        <w:spacing w:before="75" w:beforeAutospacing="0" w:after="75" w:afterAutospacing="0"/>
        <w:ind w:left="0" w:right="0" w:firstLine="0"/>
        <w:jc w:val="center"/>
        <w:rPr>
          <w:rFonts w:hint="eastAsia" w:ascii="宋体" w:hAnsi="宋体" w:eastAsia="宋体" w:cs="宋体"/>
          <w:spacing w:val="0"/>
          <w:sz w:val="24"/>
          <w:szCs w:val="24"/>
        </w:rPr>
      </w:pPr>
    </w:p>
    <w:p>
      <w:pPr>
        <w:pStyle w:val="7"/>
        <w:keepNext w:val="0"/>
        <w:keepLines w:val="0"/>
        <w:widowControl/>
        <w:suppressLineNumbers w:val="0"/>
        <w:spacing w:before="75" w:beforeAutospacing="0" w:after="75" w:afterAutospacing="0"/>
        <w:ind w:left="0" w:right="0" w:firstLine="0"/>
        <w:jc w:val="center"/>
        <w:rPr>
          <w:rFonts w:hint="eastAsia" w:ascii="宋体" w:hAnsi="宋体" w:eastAsia="宋体" w:cs="宋体"/>
          <w:spacing w:val="0"/>
          <w:sz w:val="24"/>
          <w:szCs w:val="24"/>
        </w:rPr>
      </w:pPr>
    </w:p>
    <w:p>
      <w:pPr>
        <w:pStyle w:val="7"/>
        <w:keepNext w:val="0"/>
        <w:keepLines w:val="0"/>
        <w:widowControl/>
        <w:suppressLineNumbers w:val="0"/>
        <w:spacing w:before="75" w:beforeAutospacing="0" w:after="75" w:afterAutospacing="0"/>
        <w:ind w:left="0" w:right="0" w:firstLine="0"/>
        <w:jc w:val="center"/>
        <w:rPr>
          <w:rFonts w:hint="eastAsia" w:ascii="宋体" w:hAnsi="宋体" w:eastAsia="宋体" w:cs="宋体"/>
          <w:spacing w:val="0"/>
          <w:sz w:val="24"/>
          <w:szCs w:val="24"/>
        </w:rPr>
      </w:pPr>
    </w:p>
    <w:p>
      <w:pPr>
        <w:pStyle w:val="7"/>
        <w:keepNext w:val="0"/>
        <w:keepLines w:val="0"/>
        <w:widowControl/>
        <w:suppressLineNumbers w:val="0"/>
        <w:spacing w:before="75" w:beforeAutospacing="0" w:after="75" w:afterAutospacing="0"/>
        <w:ind w:left="0" w:right="0" w:firstLine="0"/>
        <w:jc w:val="center"/>
        <w:rPr>
          <w:rFonts w:hint="eastAsia" w:ascii="宋体" w:hAnsi="宋体" w:eastAsia="宋体" w:cs="宋体"/>
          <w:spacing w:val="0"/>
          <w:sz w:val="24"/>
          <w:szCs w:val="24"/>
        </w:rPr>
      </w:pPr>
    </w:p>
    <w:p>
      <w:pPr>
        <w:pStyle w:val="7"/>
        <w:keepNext w:val="0"/>
        <w:keepLines w:val="0"/>
        <w:widowControl/>
        <w:suppressLineNumbers w:val="0"/>
        <w:spacing w:before="75" w:beforeAutospacing="0" w:after="75" w:afterAutospacing="0"/>
        <w:ind w:left="0" w:right="0" w:firstLine="0"/>
        <w:jc w:val="center"/>
        <w:rPr>
          <w:rFonts w:hint="eastAsia" w:ascii="宋体" w:hAnsi="宋体" w:eastAsia="宋体" w:cs="宋体"/>
          <w:spacing w:val="0"/>
          <w:sz w:val="24"/>
          <w:szCs w:val="24"/>
        </w:rPr>
      </w:pPr>
    </w:p>
    <w:p>
      <w:pPr>
        <w:pStyle w:val="7"/>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bCs/>
          <w:spacing w:val="0"/>
          <w:sz w:val="31"/>
          <w:szCs w:val="31"/>
        </w:rPr>
        <w:t>第五章</w:t>
      </w:r>
      <w:r>
        <w:rPr>
          <w:rStyle w:val="10"/>
          <w:b/>
          <w:bCs/>
          <w:spacing w:val="0"/>
          <w:sz w:val="31"/>
          <w:szCs w:val="31"/>
        </w:rPr>
        <w:t>   </w:t>
      </w:r>
      <w:r>
        <w:rPr>
          <w:rStyle w:val="10"/>
          <w:rFonts w:hint="eastAsia" w:ascii="宋体" w:hAnsi="宋体" w:eastAsia="宋体" w:cs="宋体"/>
          <w:b/>
          <w:bCs/>
          <w:spacing w:val="0"/>
          <w:sz w:val="31"/>
          <w:szCs w:val="31"/>
        </w:rPr>
        <w:t>招标内容及要求</w:t>
      </w:r>
    </w:p>
    <w:p>
      <w:pPr>
        <w:pStyle w:val="7"/>
        <w:keepNext w:val="0"/>
        <w:keepLines w:val="0"/>
        <w:widowControl/>
        <w:suppressLineNumbers w:val="0"/>
        <w:spacing w:before="75" w:beforeAutospacing="0" w:after="75" w:afterAutospacing="0"/>
        <w:ind w:left="0" w:right="0" w:firstLine="0"/>
      </w:pPr>
      <w:r>
        <w:rPr>
          <w:spacing w:val="0"/>
          <w:sz w:val="24"/>
          <w:szCs w:val="24"/>
        </w:rPr>
        <w:t>一、项目概况（采购标的）</w:t>
      </w:r>
    </w:p>
    <w:p>
      <w:pPr>
        <w:pStyle w:val="7"/>
        <w:keepNext w:val="0"/>
        <w:keepLines w:val="0"/>
        <w:widowControl/>
        <w:suppressLineNumbers w:val="0"/>
        <w:spacing w:before="0" w:beforeAutospacing="0" w:after="150" w:afterAutospacing="0" w:line="465" w:lineRule="atLeast"/>
        <w:ind w:left="0" w:right="0" w:firstLine="480"/>
      </w:pPr>
      <w:r>
        <w:rPr>
          <w:rFonts w:hint="eastAsia" w:ascii="宋体" w:hAnsi="宋体" w:eastAsia="宋体" w:cs="宋体"/>
          <w:sz w:val="24"/>
          <w:szCs w:val="24"/>
        </w:rPr>
        <w:t>为满足学校物理学专业教学的需要，我校拟对本次实验仪器进行公开招标采购，投标人需根据采购需求内容提供符合要求的合格产品，并做好 售 后 服 务 工作。</w:t>
      </w:r>
    </w:p>
    <w:p>
      <w:pPr>
        <w:pStyle w:val="7"/>
        <w:keepNext w:val="0"/>
        <w:keepLines w:val="0"/>
        <w:widowControl/>
        <w:suppressLineNumbers w:val="0"/>
        <w:spacing w:before="0" w:beforeAutospacing="0" w:after="150" w:afterAutospacing="0"/>
        <w:ind w:left="0" w:right="0"/>
      </w:pP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二、技术和服务要求</w:t>
      </w:r>
      <w:r>
        <w:rPr>
          <w:rStyle w:val="10"/>
          <w:rFonts w:hint="eastAsia" w:ascii="宋体" w:hAnsi="宋体" w:eastAsia="宋体" w:cs="宋体"/>
          <w:b/>
          <w:bCs/>
          <w:spacing w:val="0"/>
          <w:sz w:val="24"/>
          <w:szCs w:val="24"/>
        </w:rPr>
        <w:t>（以“★”标示的内容为不允许负偏离的实质性要求）</w:t>
      </w:r>
    </w:p>
    <w:p>
      <w:pPr>
        <w:pStyle w:val="7"/>
        <w:keepNext w:val="0"/>
        <w:keepLines w:val="0"/>
        <w:widowControl/>
        <w:suppressLineNumbers w:val="0"/>
        <w:spacing w:before="75" w:beforeAutospacing="0" w:after="75" w:afterAutospacing="0"/>
        <w:ind w:left="0" w:right="0"/>
      </w:pP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19"/>
        <w:gridCol w:w="889"/>
        <w:gridCol w:w="6580"/>
        <w:gridCol w:w="314"/>
        <w:gridCol w:w="31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150" w:afterAutospacing="0"/>
              <w:ind w:left="0" w:right="0"/>
              <w:jc w:val="center"/>
            </w:pPr>
            <w:r>
              <w:rPr>
                <w:rFonts w:hint="eastAsia" w:ascii="宋体" w:hAnsi="宋体" w:eastAsia="宋体" w:cs="宋体"/>
                <w:sz w:val="24"/>
                <w:szCs w:val="24"/>
              </w:rPr>
              <w:t>品目号</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商品名 称</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参数及规格</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计量单位</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1-1</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霍尔效应实验仪</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1、霍尔效应片类型：N型砷化镓半导体霍尔灵敏度≥150mV/(mAT)</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1-2</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霍尔效应测试仪</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1、环境适应性：工作温度 10～35℃；相对湿度 25～75%。</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2、励磁恒流源0～0.5A，调节细度＜1mA，稳定度＜10-5，工作电压24V ，≥3位半LED数显；</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3、霍尔工作电流用恒流源Is 0～3.5mA，分辨率≤10μA工作电压≥8V，稳定度＜10-5，≥3位半数显；</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4、霍尔电压不等电位电势测量用直流电压表：</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①、20mV量程,≥3位半LED显示，分辨率≤10μV, 测量准确度为≤0.5%</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不等电位电势测量用直流电压表</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②、≥2000mV量程，≥3位半LED显示，分辨率≤1mV, 测量准确度为≤0.5%</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5、二个励磁线圈：匝数≥1400匝(单个)；有效直径≥72mm；线圈中心间距≥52mm；</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6、移动尺装置：横向移动距离≥70mm，纵向移动距离≥25mm，分辨率≤0.1mm</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▲7、机身配置手机扫描二维码，进入操作界面可显示仪器信息、关注公众号、点击查看产品使用说明书、点击查看产品测定视频、故障报修、用户注册等内容。（须提供二维码手机操作截图证明文件）</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1-3</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示波器</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w:t>
            </w:r>
            <w:r>
              <w:t> </w:t>
            </w:r>
            <w:r>
              <w:rPr>
                <w:rFonts w:hint="eastAsia" w:ascii="宋体" w:hAnsi="宋体" w:eastAsia="宋体" w:cs="宋体"/>
                <w:sz w:val="24"/>
                <w:szCs w:val="24"/>
              </w:rPr>
              <w:t>支持两个模拟通道，一个外触发输入通道，带宽≥100MHz</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w:t>
            </w:r>
            <w:r>
              <w:t> </w:t>
            </w:r>
            <w:r>
              <w:rPr>
                <w:rFonts w:hint="eastAsia" w:ascii="宋体" w:hAnsi="宋体" w:eastAsia="宋体" w:cs="宋体"/>
                <w:sz w:val="24"/>
                <w:szCs w:val="24"/>
              </w:rPr>
              <w:t>最大采样率≥1GSa/s，等效采样率≥25GSa/s</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3.</w:t>
            </w:r>
            <w:r>
              <w:t> </w:t>
            </w:r>
            <w:r>
              <w:rPr>
                <w:rFonts w:hint="eastAsia" w:ascii="宋体" w:hAnsi="宋体" w:eastAsia="宋体" w:cs="宋体"/>
                <w:sz w:val="24"/>
                <w:szCs w:val="24"/>
              </w:rPr>
              <w:t>最大存储深度≥1Mpts</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4.</w:t>
            </w:r>
            <w:r>
              <w:t> </w:t>
            </w:r>
            <w:r>
              <w:rPr>
                <w:rFonts w:hint="eastAsia" w:ascii="宋体" w:hAnsi="宋体" w:eastAsia="宋体" w:cs="宋体"/>
                <w:sz w:val="24"/>
                <w:szCs w:val="24"/>
              </w:rPr>
              <w:t>支持最大≥1000帧波形录制和回放</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5.</w:t>
            </w:r>
            <w:r>
              <w:t> </w:t>
            </w:r>
            <w:r>
              <w:rPr>
                <w:rFonts w:hint="eastAsia" w:ascii="宋体" w:hAnsi="宋体" w:eastAsia="宋体" w:cs="宋体"/>
                <w:sz w:val="24"/>
                <w:szCs w:val="24"/>
              </w:rPr>
              <w:t>标配Pass/Fail检测功能，根据检测结果可通过光电隔离的 Pass/Fail 端口输出</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6.</w:t>
            </w:r>
            <w:r>
              <w:t> </w:t>
            </w:r>
            <w:r>
              <w:rPr>
                <w:rFonts w:hint="eastAsia" w:ascii="宋体" w:hAnsi="宋体" w:eastAsia="宋体" w:cs="宋体"/>
                <w:sz w:val="24"/>
                <w:szCs w:val="24"/>
              </w:rPr>
              <w:t>触发灵敏度可调：触发灵敏度在0.1div-1.0div可调，适合不同场合的测量需求</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7.</w:t>
            </w:r>
            <w:r>
              <w:t> </w:t>
            </w:r>
            <w:r>
              <w:rPr>
                <w:rFonts w:hint="eastAsia" w:ascii="宋体" w:hAnsi="宋体" w:eastAsia="宋体" w:cs="宋体"/>
                <w:sz w:val="24"/>
                <w:szCs w:val="24"/>
              </w:rPr>
              <w:t>可实现实时采样模式和等效采样模式手动切换</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8.</w:t>
            </w:r>
            <w:r>
              <w:t> </w:t>
            </w:r>
            <w:r>
              <w:rPr>
                <w:rFonts w:hint="eastAsia" w:ascii="宋体" w:hAnsi="宋体" w:eastAsia="宋体" w:cs="宋体"/>
                <w:sz w:val="24"/>
                <w:szCs w:val="24"/>
              </w:rPr>
              <w:t>标准配置接口：USB Device，USB Host，RS-232，GPIB（选件）</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9.</w:t>
            </w:r>
            <w:r>
              <w:t> </w:t>
            </w:r>
            <w:r>
              <w:rPr>
                <w:rFonts w:hint="eastAsia" w:ascii="宋体" w:hAnsi="宋体" w:eastAsia="宋体" w:cs="宋体"/>
                <w:sz w:val="24"/>
                <w:szCs w:val="24"/>
              </w:rPr>
              <w:t>垂直灵敏度：2mV/div~10V/div</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10.</w:t>
            </w:r>
            <w:r>
              <w:t> </w:t>
            </w:r>
            <w:r>
              <w:rPr>
                <w:rFonts w:hint="eastAsia" w:ascii="宋体" w:hAnsi="宋体" w:eastAsia="宋体" w:cs="宋体"/>
                <w:sz w:val="24"/>
                <w:szCs w:val="24"/>
              </w:rPr>
              <w:t>时基范围：2ns/div~50s/div</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11.</w:t>
            </w:r>
            <w:r>
              <w:t> </w:t>
            </w:r>
            <w:r>
              <w:rPr>
                <w:rFonts w:hint="eastAsia" w:ascii="宋体" w:hAnsi="宋体" w:eastAsia="宋体" w:cs="宋体"/>
                <w:sz w:val="24"/>
                <w:szCs w:val="24"/>
              </w:rPr>
              <w:t>时基模式：Y-T，X-Y，Roll模式，慢扫描</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12.</w:t>
            </w:r>
            <w:r>
              <w:t> </w:t>
            </w:r>
            <w:r>
              <w:rPr>
                <w:rFonts w:hint="eastAsia" w:ascii="宋体" w:hAnsi="宋体" w:eastAsia="宋体" w:cs="宋体"/>
                <w:sz w:val="24"/>
                <w:szCs w:val="24"/>
              </w:rPr>
              <w:t>内置硬件频率计（6位）</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13.</w:t>
            </w:r>
            <w:r>
              <w:t> </w:t>
            </w:r>
            <w:r>
              <w:rPr>
                <w:rFonts w:hint="eastAsia" w:ascii="宋体" w:hAnsi="宋体" w:eastAsia="宋体" w:cs="宋体"/>
                <w:sz w:val="24"/>
                <w:szCs w:val="24"/>
              </w:rPr>
              <w:t>支持LPF，HPF，BPF，BRF数字滤波器功能</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14.</w:t>
            </w:r>
            <w:r>
              <w:t> </w:t>
            </w:r>
            <w:r>
              <w:rPr>
                <w:rFonts w:hint="eastAsia" w:ascii="宋体" w:hAnsi="宋体" w:eastAsia="宋体" w:cs="宋体"/>
                <w:sz w:val="24"/>
                <w:szCs w:val="24"/>
              </w:rPr>
              <w:t>可实现普通存储模式和长存储模式手动切换</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15.</w:t>
            </w:r>
            <w:r>
              <w:t> </w:t>
            </w:r>
            <w:r>
              <w:rPr>
                <w:rFonts w:hint="eastAsia" w:ascii="宋体" w:hAnsi="宋体" w:eastAsia="宋体" w:cs="宋体"/>
                <w:sz w:val="24"/>
                <w:szCs w:val="24"/>
              </w:rPr>
              <w:t>触发功能：边沿、脉宽、视频、斜率</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16.</w:t>
            </w:r>
            <w:r>
              <w:t> </w:t>
            </w:r>
            <w:r>
              <w:rPr>
                <w:rFonts w:hint="eastAsia" w:ascii="宋体" w:hAnsi="宋体" w:eastAsia="宋体" w:cs="宋体"/>
                <w:sz w:val="24"/>
                <w:szCs w:val="24"/>
              </w:rPr>
              <w:t>自动测量22种波形参数，具有自动光标跟踪测量功能</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17.</w:t>
            </w:r>
            <w:r>
              <w:t> </w:t>
            </w:r>
            <w:r>
              <w:rPr>
                <w:rFonts w:hint="eastAsia" w:ascii="宋体" w:hAnsi="宋体" w:eastAsia="宋体" w:cs="宋体"/>
                <w:sz w:val="24"/>
                <w:szCs w:val="24"/>
              </w:rPr>
              <w:t>数学运算功能：加、减、乘、FFT</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18.</w:t>
            </w:r>
            <w:r>
              <w:t> </w:t>
            </w:r>
            <w:r>
              <w:rPr>
                <w:rFonts w:hint="eastAsia" w:ascii="宋体" w:hAnsi="宋体" w:eastAsia="宋体" w:cs="宋体"/>
                <w:sz w:val="24"/>
                <w:szCs w:val="24"/>
              </w:rPr>
              <w:t>独特的锁键盘功能，满足工业生产需要</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19.</w:t>
            </w:r>
            <w:r>
              <w:t> </w:t>
            </w:r>
            <w:r>
              <w:rPr>
                <w:rFonts w:hint="eastAsia" w:ascii="宋体" w:hAnsi="宋体" w:eastAsia="宋体" w:cs="宋体"/>
                <w:sz w:val="24"/>
                <w:szCs w:val="24"/>
              </w:rPr>
              <w:t>支持至少10种多国语言</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20.</w:t>
            </w:r>
            <w:r>
              <w:t> </w:t>
            </w:r>
            <w:r>
              <w:rPr>
                <w:rFonts w:hint="eastAsia" w:ascii="宋体" w:hAnsi="宋体" w:eastAsia="宋体" w:cs="宋体"/>
                <w:sz w:val="24"/>
                <w:szCs w:val="24"/>
              </w:rPr>
              <w:t>支持普通或PictBridge打印机</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21.</w:t>
            </w:r>
            <w:r>
              <w:t> </w:t>
            </w:r>
            <w:r>
              <w:rPr>
                <w:rFonts w:hint="eastAsia" w:ascii="宋体" w:hAnsi="宋体" w:eastAsia="宋体" w:cs="宋体"/>
                <w:sz w:val="24"/>
                <w:szCs w:val="24"/>
              </w:rPr>
              <w:t>标配PC控制软件</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22.≥</w:t>
            </w:r>
            <w:r>
              <w:t> </w:t>
            </w:r>
            <w:r>
              <w:rPr>
                <w:rFonts w:hint="eastAsia" w:ascii="宋体" w:hAnsi="宋体" w:eastAsia="宋体" w:cs="宋体"/>
                <w:sz w:val="24"/>
                <w:szCs w:val="24"/>
              </w:rPr>
              <w:t>5.6英寸64k色TFT LCD，波形显示更加清晰</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1-4</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函数/任意波形发生器</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w:t>
            </w:r>
            <w:r>
              <w:t> </w:t>
            </w:r>
            <w:r>
              <w:rPr>
                <w:rFonts w:hint="eastAsia" w:ascii="宋体" w:hAnsi="宋体" w:eastAsia="宋体" w:cs="宋体"/>
                <w:sz w:val="24"/>
                <w:szCs w:val="24"/>
              </w:rPr>
              <w:t>最高输出频率≥25M、双路模拟输出</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w:t>
            </w:r>
            <w:r>
              <w:t> </w:t>
            </w:r>
            <w:r>
              <w:rPr>
                <w:rFonts w:hint="eastAsia" w:ascii="宋体" w:hAnsi="宋体" w:eastAsia="宋体" w:cs="宋体"/>
                <w:sz w:val="24"/>
                <w:szCs w:val="24"/>
              </w:rPr>
              <w:t>正弦波：1μHz 到 25MHz</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方 波：1μHz 到 5MHz</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锯齿波：1μHz 到 500kHz</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脉冲波：500μHz 到5MHz</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白噪声：≥5MHz带宽 (-3dB)</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3.</w:t>
            </w:r>
            <w:r>
              <w:t> </w:t>
            </w:r>
            <w:r>
              <w:rPr>
                <w:rFonts w:hint="eastAsia" w:ascii="宋体" w:hAnsi="宋体" w:eastAsia="宋体" w:cs="宋体"/>
                <w:sz w:val="24"/>
                <w:szCs w:val="24"/>
              </w:rPr>
              <w:t>频率精度温度系数&lt;5ppm/。C</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4.</w:t>
            </w:r>
            <w:r>
              <w:t> </w:t>
            </w:r>
            <w:r>
              <w:rPr>
                <w:rFonts w:hint="eastAsia" w:ascii="宋体" w:hAnsi="宋体" w:eastAsia="宋体" w:cs="宋体"/>
                <w:sz w:val="24"/>
                <w:szCs w:val="24"/>
              </w:rPr>
              <w:t>频率分辨率≤1uHz</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5.</w:t>
            </w:r>
            <w:r>
              <w:t> </w:t>
            </w:r>
            <w:r>
              <w:rPr>
                <w:rFonts w:hint="eastAsia" w:ascii="宋体" w:hAnsi="宋体" w:eastAsia="宋体" w:cs="宋体"/>
                <w:sz w:val="24"/>
                <w:szCs w:val="24"/>
              </w:rPr>
              <w:t>≥100MSa/s采样率 、≥14bits垂直分辨率</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6.</w:t>
            </w:r>
            <w:r>
              <w:t> </w:t>
            </w:r>
            <w:r>
              <w:rPr>
                <w:rFonts w:hint="eastAsia" w:ascii="宋体" w:hAnsi="宋体" w:eastAsia="宋体" w:cs="宋体"/>
                <w:sz w:val="24"/>
                <w:szCs w:val="24"/>
              </w:rPr>
              <w:t>相位噪声-108dBc/Hz，10KHz offset</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7.</w:t>
            </w:r>
            <w:r>
              <w:t> </w:t>
            </w:r>
            <w:r>
              <w:rPr>
                <w:rFonts w:hint="eastAsia" w:ascii="宋体" w:hAnsi="宋体" w:eastAsia="宋体" w:cs="宋体"/>
                <w:sz w:val="24"/>
                <w:szCs w:val="24"/>
              </w:rPr>
              <w:t>总谐波失真DC～20KHz，1Vpp&lt;0.2%</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8.</w:t>
            </w:r>
            <w:r>
              <w:t> </w:t>
            </w:r>
            <w:r>
              <w:rPr>
                <w:rFonts w:hint="eastAsia" w:ascii="宋体" w:hAnsi="宋体" w:eastAsia="宋体" w:cs="宋体"/>
                <w:sz w:val="24"/>
                <w:szCs w:val="24"/>
              </w:rPr>
              <w:t>脉宽20nS～2000S，最小分辨率≤1ns，抖动6ns+周期的100ppm</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9.</w:t>
            </w:r>
            <w:r>
              <w:t> </w:t>
            </w:r>
            <w:r>
              <w:rPr>
                <w:rFonts w:hint="eastAsia" w:ascii="宋体" w:hAnsi="宋体" w:eastAsia="宋体" w:cs="宋体"/>
                <w:sz w:val="24"/>
                <w:szCs w:val="24"/>
              </w:rPr>
              <w:t>任意波长度最大4k，标配任意波编辑软件，用户自定义数据格式转换软件</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10.</w:t>
            </w:r>
            <w:r>
              <w:t> </w:t>
            </w:r>
            <w:r>
              <w:rPr>
                <w:rFonts w:hint="eastAsia" w:ascii="宋体" w:hAnsi="宋体" w:eastAsia="宋体" w:cs="宋体"/>
                <w:sz w:val="24"/>
                <w:szCs w:val="24"/>
              </w:rPr>
              <w:t>输出幅度4mV～20Vpp（高阻），垂直分辨率±（设置值的2%+2mVPP）</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11.</w:t>
            </w:r>
            <w:r>
              <w:t> </w:t>
            </w:r>
            <w:r>
              <w:rPr>
                <w:rFonts w:hint="eastAsia" w:ascii="宋体" w:hAnsi="宋体" w:eastAsia="宋体" w:cs="宋体"/>
                <w:sz w:val="24"/>
                <w:szCs w:val="24"/>
              </w:rPr>
              <w:t>具备短路保护功能，过载自动禁用波形输出</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12.</w:t>
            </w:r>
            <w:r>
              <w:t> </w:t>
            </w:r>
            <w:r>
              <w:rPr>
                <w:rFonts w:hint="eastAsia" w:ascii="宋体" w:hAnsi="宋体" w:eastAsia="宋体" w:cs="宋体"/>
                <w:sz w:val="24"/>
                <w:szCs w:val="24"/>
              </w:rPr>
              <w:t>≥5种标准波形：正弦波、方波、脉冲波、锯齿波、白噪声。内建≥48种任意波形，可以对内建波形进行任意编辑</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13.</w:t>
            </w:r>
            <w:r>
              <w:t> </w:t>
            </w:r>
            <w:r>
              <w:rPr>
                <w:rFonts w:hint="eastAsia" w:ascii="宋体" w:hAnsi="宋体" w:eastAsia="宋体" w:cs="宋体"/>
                <w:sz w:val="24"/>
                <w:szCs w:val="24"/>
              </w:rPr>
              <w:t>丰富调制功能：调幅（AM）、调频（FM）、调相（PM）、二进制频移键控（FSK），支持外部调制</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14.</w:t>
            </w:r>
            <w:r>
              <w:t> </w:t>
            </w:r>
            <w:r>
              <w:rPr>
                <w:rFonts w:hint="eastAsia" w:ascii="宋体" w:hAnsi="宋体" w:eastAsia="宋体" w:cs="宋体"/>
                <w:sz w:val="24"/>
                <w:szCs w:val="24"/>
              </w:rPr>
              <w:t>调制功能调制波可选Sine、Square、Triangle、UpRamp、DnRamp、Noise、Arb</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15.</w:t>
            </w:r>
            <w:r>
              <w:t> </w:t>
            </w:r>
            <w:r>
              <w:rPr>
                <w:rFonts w:hint="eastAsia" w:ascii="宋体" w:hAnsi="宋体" w:eastAsia="宋体" w:cs="宋体"/>
                <w:sz w:val="24"/>
                <w:szCs w:val="24"/>
              </w:rPr>
              <w:t>线性和对数扫描（Sweep）及脉冲串（Burst）模式，支持TTL电平外部触发</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16.</w:t>
            </w:r>
            <w:r>
              <w:t> </w:t>
            </w:r>
            <w:r>
              <w:rPr>
                <w:rFonts w:hint="eastAsia" w:ascii="宋体" w:hAnsi="宋体" w:eastAsia="宋体" w:cs="宋体"/>
                <w:sz w:val="24"/>
                <w:szCs w:val="24"/>
              </w:rPr>
              <w:t>输入输出：可外接调制源、基准10MHz时钟源、外触发输入、触发输出，数字同步信号输出。</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17.</w:t>
            </w:r>
            <w:r>
              <w:t> </w:t>
            </w:r>
            <w:r>
              <w:rPr>
                <w:rFonts w:hint="eastAsia" w:ascii="宋体" w:hAnsi="宋体" w:eastAsia="宋体" w:cs="宋体"/>
                <w:sz w:val="24"/>
                <w:szCs w:val="24"/>
              </w:rPr>
              <w:t>内置高精度100mhz~200MHz宽频带频率计，具有测量频率、周期、占空比、正/负脉冲宽度的功能，读数分辨率6位/秒</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18.</w:t>
            </w:r>
            <w:r>
              <w:t> </w:t>
            </w:r>
            <w:r>
              <w:rPr>
                <w:rFonts w:hint="eastAsia" w:ascii="宋体" w:hAnsi="宋体" w:eastAsia="宋体" w:cs="宋体"/>
                <w:sz w:val="24"/>
                <w:szCs w:val="24"/>
              </w:rPr>
              <w:t>标配标准的VISA驱动USB接口，支持U盘存储和调用，提供编程实例，支持远程控制；</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19.</w:t>
            </w:r>
            <w:r>
              <w:t> </w:t>
            </w:r>
            <w:r>
              <w:rPr>
                <w:rFonts w:hint="eastAsia" w:ascii="宋体" w:hAnsi="宋体" w:eastAsia="宋体" w:cs="宋体"/>
                <w:sz w:val="24"/>
                <w:szCs w:val="24"/>
              </w:rPr>
              <w:t>可通过远程命令或U盘锁定按键</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20.</w:t>
            </w:r>
            <w:r>
              <w:t> </w:t>
            </w:r>
            <w:r>
              <w:rPr>
                <w:rFonts w:hint="eastAsia" w:ascii="宋体" w:hAnsi="宋体" w:eastAsia="宋体" w:cs="宋体"/>
                <w:sz w:val="24"/>
                <w:szCs w:val="24"/>
              </w:rPr>
              <w:t>支持通道间参数复制</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21.</w:t>
            </w:r>
            <w:r>
              <w:t> </w:t>
            </w:r>
            <w:r>
              <w:rPr>
                <w:rFonts w:hint="eastAsia" w:ascii="宋体" w:hAnsi="宋体" w:eastAsia="宋体" w:cs="宋体"/>
                <w:sz w:val="24"/>
                <w:szCs w:val="24"/>
              </w:rPr>
              <w:t>支持通道间频率耦合或相位耦合</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22.</w:t>
            </w:r>
            <w:r>
              <w:t> </w:t>
            </w:r>
            <w:r>
              <w:rPr>
                <w:rFonts w:hint="eastAsia" w:ascii="宋体" w:hAnsi="宋体" w:eastAsia="宋体" w:cs="宋体"/>
                <w:sz w:val="24"/>
                <w:szCs w:val="24"/>
              </w:rPr>
              <w:t>可连接和控制功率放大器，将信号放大后输出</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1-5</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亥姆霍兹线圈磁场实验仪</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1、亥姆霍兹线圈架，二个励磁线圈：线圈有效半径≥105mm；线圈匝数（单个）：≥400匝；二线圈中心间距：≥105mm；</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2、移动装置：横向可移动距离≥250mm，纵向可移动距离≥70mm，距离分辨率≤1mm；</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3、探测线圈：匝数≥1000，旋转角度≥360°；</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4、频率范围：20～200Hz，频率分辨率：≤0.1Hz，测量误差：≤1%；</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5、正弦波：输出电压幅度：最大20Vp-p，输出电流幅度：最大≥200mA；</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6、≥3位半LED数显毫伏表电压测量范围：0～20mV，测量误差：≤1%。</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7、机身须配置手机扫描二维码，进入操作界面可显示仪器信息、关注公众号、点击查看产品使用说明书、点击查看产品测定视频、故障报修、用户注册等内容，须提供二维码手机操作截图证明文件；</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1-6</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地磁水平分量测试仪</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主要实验内容</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1、熟悉磁阻传感器测量弱磁场的方法，测量磁阻传感器的灵敏度；</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2、测量地磁场水平分量、垂直分量以及磁倾角大小，计算地磁场强度。</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主要技术参数</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1、磁阻传感器：灵敏度48～52V/T；量程-6.0～6 .0Gs；</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2、恒流源：0～300.0mA连续可调，≥4位半数显，稳定度≥0.1%；</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3、亥姆霍兹线圈：有效半径≥100mm，单线圈匝数≥500匝；</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4、角度盘：传感器转盘0～360°旋转，配有游标尺，精度≤0.1度；</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5、亥姆霍兹线圈底座转盘：水平方向0～360度可旋转，精度≤1度；</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6、直流电压表：≥4位半LED显示，量程≥200.00mV，分辨率≤0.01mV。</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7、机身须配置手机扫描二维码，进入操作界面可显示仪器信息、关注公众号、点击查看产品使用说明书、点击查看产品测定视频、故障报修、用户注册等内容，须提供二维码手机操作截图证明文件；</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1-7</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静电场描绘仪（配AC-12静电场描绘电源）</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仪器由上层板、下层板和上下针移动座三部分组成；下层板为载极板，装有圆柱电极，圆环电极；上层板装有压紧坐标纸的压板；上下针移动座可移动到不同测量位置，上针可在坐标纸上点出下针所在点位置（同步探针装置）。</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2、两个带相反电量的同心圆环、同心圆柱电极：</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（1）圆环电极尺寸：圆柱直径≥Φ15mm，圆环内径≥Φ150mm；</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（2）圆柱电极尺寸：两圆柱相距≥100mm，直径≥Φ15mm。</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3、上针在坐标纸上点出下针所在点的相应位置准确，使用灵活方便。</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4、仪器含直流稳压电源（12V、100mA）、导线、开关等。</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1-8</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直流稳定电源</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1输入电压：220VAC 50Hz</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2两个可调输出</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2.1输出电压：0-30V（连续可调）</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2.2输出电流：0-3A（0-5A）（连续可调）</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2.3电源调节：CC≤0.01%+3mV</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CC≤0.01%+6ma</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2.4负荷调节：CC≤0.01%+2mV（额定值≤5A）</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CC≤0.01%+5mV（额定值&gt;5A）</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CC≤0.01%+6ma</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2.5纹波和噪声：CC≤1MV（rms）</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CV≤20 mVp-p</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CC≤3ma（rms）</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CC≤50MAP-P</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2.6保护：限流保护</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2.7指示：电压表和电流表</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或3位电压表和电流表</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a.电压指示：LED±1%±2位</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b.电流指示：LED±2%±2个数字</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台</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1-9</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旋转式电阻箱</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主要技术指标</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1、阻值调节范围：0~111111.0Ω</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2、电阻箱精度要求≤0.1%</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3、最小步进值：≤0.1Ω。</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4、残余电阻及其允差：0～11Ω时，Ro≤25mΩ。</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0~111.111KΩ时，Ro≤50mΩ</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5、基本误差在环境温度为20±5℃，相对湿度小于80%时，</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6．电阻箱在使用温度范围内从20℃变化至5℃，允许电阻值变化｜0.5Δ｜，从20℃变化至45℃，允许电阻值变化｜Δ｜。</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7.电阻箱电路与外壳之间绝缘电阻不小于1000MΩ/500V</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8. 电阻箱电路与外壳之间能耐受频率为50赫，正弦波电压2000伏，历时1分钟的试验不击穿。</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9.电阻箱额定电流≥500 mA：</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台</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1-10</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直流检流计（AC5-4）</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1、使用环境：工作环境温度：0－40℃ ，工作环境湿度：小于80%（RH），避免阳光直晒，室内无腐蚀性气体，避免严重振动。</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2、市电型采用交流220V供电，打开电源开关即可进行测量。</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3、零点漂移：≤1格/4小时（预热15分钟后）</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4、指示误差：≤±5%</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5、温度系数：≤5×10-10A</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6、仪器串模干扰(对50HZ交流)抑制比：大于60db,共模干扰抑制比：大于120db（包括直流）。</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台</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1-11</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直流微安表</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 准确度等级：≤0.5级。</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2、当使用条件符合下列情况时,仪表标度尺工作部份的基本误差不超过上量限的≤±0.5%。</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 环境温度为：23±2℃。</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 除地磁外,周围没有其它铁磁物质和外磁场。</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(3) 直流被测量的纹波含量≥3%。</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(4) 仪表处于水平工作位置(允许偏差±1°)。</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(5) 测量前用调节器调好机械零位。</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3、标度尺全长≥110mm，标度尺是均匀的，毫安表为≥100分格。</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4、阻尼响应时间：不超过≤4秒钟。</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5、位置影响：仪表自水平位置向任一方向偏离5°时,其指示值的改变不超过上量限的±0.25%。</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6、温度影响：当环境气温自23±2℃改变±10℃时，改变≤0.5%。</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7、外磁场影响,通过与被试表同种类的电流所形成的强度0.4KA/m的均匀磁场,且在最不利方向和相位的情况下,由此引起仪表指示值的改变量不超过上量限的≤±0.75%。</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8、绝缘电阻：仪表加约500V直流电压1min, 绝缘电阻≥5MΩ。</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9、绝缘强度：外壳对电路能耐受45~65 Hz的正弦电压2KV1min。</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台</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1-12</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直流指针式检流计</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1、使用环境条件：环境温度: 0℃～+40℃， 环境湿度: ≤80%(RH)</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2、电源:220V士10% 50Hz交流供电，耗电小于0.5W。</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3、测量端输入阻抗: 10.5kΩ</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4、电流噪声: ≤±10PA(均方根值)</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5、零电流漂移: ≤1格/4小时(预热15分钟后)</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6、测量误差: ≤±5%(如需提高精度等级，可另定)</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7、非线性压缩比：≥30dB</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8、仪器串模干扰抑制比: 大于60dB，共模干扰抑制比: 大于100dB；</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台</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1-13</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标准电感箱</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1、规范指标规定的参数条件：环境温度：20±2℃，环境湿度：40～60％RH； 测试频率：1000±20Hz，正弦波；</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2、标准电感箱在＋5℃－＋35℃环境下使用。</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3、电感箱引出端钮与紧固件间绝缘电阻大于500MΩ，其绝缘强度能经受2000V50Hz正弦波交流电压一分钟试验。</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4、整件体积小，重量轻，使用也简便，外形尺寸：园柱壳外径≤145mm，高≤170mm。</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台</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1-14</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模拟标准电阻器</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l、量程：0.01Ω、0.1Ω、lΩ、10Ω、100Ω、</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lKΩ、10KΩ、100KΩ、lMΩ共九档。</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2、精度：≤土0.02％</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3、保证准确的温度：20土2℃</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4、使用温度：20土10℃</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5、额定功率：≥0.1W</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6、使用环境的相对湿度：＜80％</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台</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1-15</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十进式电感箱</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1、电感值范围：0～100mH，即（0-10）×10mH；</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2、电感箱规定下列条件：环境温度为20±2℃，相对湿度40%～80%；电源频率为1000±2OHz的正弦波；额定工作电流0.08A；最大允许电流0.16A</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3、基本误差：在遵守条件的规定下，电感箱的基本误差≤±5%</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4、电感箱的残余电感≤2μH</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5、电感箱的直流电阻≤50Ω</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6、电感箱在＋10℃～+30℃ 的范围内使用时，各档步进电感量值的变差不大于其相应等级所允许的基本误差。</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7、电感箱引出端钮间可承受的最大电压：交流50V（有效值）。注意：在超过额定电流的情况下使用,可能会损坏本电感箱</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台</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1-16</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十进位电容箱</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1、准确度和介质损耗：</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10×10μF组：±0.5 %，损耗≤0.05</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10×1μF组：±0.5 %，损耗≤0.01</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10×0.1μF组：±0.5 %，损耗≤0.005</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10×0.01μF组：±0.65%，损耗≤0.005</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10×1000pF组：±2 %，损耗≤0.01</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10×100pF组：±5 %，损耗≤0.05</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10×10pF组：±10 %，损耗≤0.1</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准确度条件如下：</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（1）周围温度＋2O℃±3℃，相对湿度为30%～80%</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(2）工作频率800～1000Hz</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(3）额定工作电压：交流50V（有效值），最大不能超过100V（有效值），直流250V；</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(4）电容箱的起始电容≤150pF，使用时起始电容应从测量结果中除去。</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2、在环境温度从＋lO℃ 到＋30℃ 时，电容量的变化不超过基本误差的1/2。</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台</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1-17</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四端电阻器</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1、 配置铜、铁、铝三种样品</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2、 样品直径≥0.4mm</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3、 样品架带刻度表尺。</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台</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1-18</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钠灯</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1、发光波长：钠灯：589nm，589.6nm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2、电感式，无噪音</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3、高度140mm至425mm可调</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4、含电源，工作电压15±5V，工作电流AC:1~1.3A，功率20W</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个</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1-19</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法布里泊罗标准具(塞曼效应实验配件）</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150" w:afterAutospacing="0" w:line="285" w:lineRule="atLeast"/>
              <w:ind w:left="0" w:right="0"/>
              <w:textAlignment w:val="center"/>
            </w:pPr>
            <w:r>
              <w:rPr>
                <w:rFonts w:hint="eastAsia" w:ascii="宋体" w:hAnsi="宋体" w:eastAsia="宋体" w:cs="宋体"/>
                <w:sz w:val="24"/>
                <w:szCs w:val="24"/>
              </w:rPr>
              <w:t>1、空气隙F-P标准具：空气隙石英间隔≤2mm，</w:t>
            </w:r>
          </w:p>
          <w:p>
            <w:pPr>
              <w:pStyle w:val="7"/>
              <w:keepNext w:val="0"/>
              <w:keepLines w:val="0"/>
              <w:widowControl/>
              <w:suppressLineNumbers w:val="0"/>
              <w:wordWrap w:val="0"/>
              <w:spacing w:before="0" w:beforeAutospacing="0" w:after="150" w:afterAutospacing="0" w:line="285" w:lineRule="atLeast"/>
              <w:ind w:left="0" w:right="0"/>
              <w:textAlignment w:val="center"/>
            </w:pPr>
            <w:r>
              <w:rPr>
                <w:rFonts w:hint="eastAsia" w:ascii="宋体" w:hAnsi="宋体" w:eastAsia="宋体" w:cs="宋体"/>
                <w:sz w:val="24"/>
                <w:szCs w:val="24"/>
              </w:rPr>
              <w:t>2、配置精密二维调整架，</w:t>
            </w:r>
          </w:p>
          <w:p>
            <w:pPr>
              <w:pStyle w:val="7"/>
              <w:keepNext w:val="0"/>
              <w:keepLines w:val="0"/>
              <w:widowControl/>
              <w:suppressLineNumbers w:val="0"/>
              <w:wordWrap w:val="0"/>
              <w:spacing w:before="0" w:beforeAutospacing="0" w:after="150" w:afterAutospacing="0" w:line="285" w:lineRule="atLeast"/>
              <w:ind w:left="0" w:right="0"/>
              <w:textAlignment w:val="center"/>
            </w:pPr>
            <w:r>
              <w:rPr>
                <w:rFonts w:hint="eastAsia" w:ascii="宋体" w:hAnsi="宋体" w:eastAsia="宋体" w:cs="宋体"/>
                <w:sz w:val="24"/>
                <w:szCs w:val="24"/>
              </w:rPr>
              <w:t>3、螺距≤0.15mm,</w:t>
            </w:r>
          </w:p>
          <w:p>
            <w:pPr>
              <w:pStyle w:val="7"/>
              <w:keepNext w:val="0"/>
              <w:keepLines w:val="0"/>
              <w:widowControl/>
              <w:suppressLineNumbers w:val="0"/>
              <w:wordWrap w:val="0"/>
              <w:spacing w:before="0" w:beforeAutospacing="0" w:after="150" w:afterAutospacing="0" w:line="285" w:lineRule="atLeast"/>
              <w:ind w:left="0" w:right="0"/>
              <w:textAlignment w:val="center"/>
            </w:pPr>
            <w:r>
              <w:rPr>
                <w:rFonts w:hint="eastAsia" w:ascii="宋体" w:hAnsi="宋体" w:eastAsia="宋体" w:cs="宋体"/>
                <w:sz w:val="24"/>
                <w:szCs w:val="24"/>
              </w:rPr>
              <w:t>4、通光口径Ф≥40mm，反射率95%；</w:t>
            </w:r>
          </w:p>
          <w:p>
            <w:pPr>
              <w:pStyle w:val="7"/>
              <w:keepNext w:val="0"/>
              <w:keepLines w:val="0"/>
              <w:widowControl/>
              <w:suppressLineNumbers w:val="0"/>
              <w:wordWrap w:val="0"/>
              <w:spacing w:before="0" w:beforeAutospacing="0" w:after="150" w:afterAutospacing="0" w:line="285" w:lineRule="atLeast"/>
              <w:ind w:left="0" w:right="0"/>
              <w:textAlignment w:val="center"/>
            </w:pPr>
            <w:r>
              <w:rPr>
                <w:rFonts w:hint="eastAsia" w:ascii="宋体" w:hAnsi="宋体" w:eastAsia="宋体" w:cs="宋体"/>
                <w:sz w:val="24"/>
                <w:szCs w:val="24"/>
              </w:rPr>
              <w:t>5、中心波长5893</w:t>
            </w:r>
            <w:r>
              <w:rPr>
                <w:rFonts w:hint="default" w:ascii="Calibri" w:hAnsi="Calibri" w:cs="Calibri"/>
                <w:color w:val="121212"/>
                <w:spacing w:val="0"/>
                <w:sz w:val="22"/>
                <w:szCs w:val="22"/>
                <w:shd w:val="clear" w:fill="FFFFFF"/>
              </w:rPr>
              <w:t>埃米</w:t>
            </w:r>
            <w:r>
              <w:rPr>
                <w:rFonts w:hint="eastAsia" w:ascii="宋体" w:hAnsi="宋体" w:eastAsia="宋体" w:cs="宋体"/>
              </w:rPr>
              <w:t>，高反射带宽≥2000</w:t>
            </w:r>
            <w:r>
              <w:rPr>
                <w:rFonts w:hint="default" w:ascii="Calibri" w:hAnsi="Calibri" w:cs="Calibri"/>
                <w:color w:val="121212"/>
                <w:sz w:val="22"/>
                <w:szCs w:val="22"/>
                <w:shd w:val="clear" w:fill="FFFFFF"/>
              </w:rPr>
              <w:t>埃米</w:t>
            </w:r>
            <w:r>
              <w:rPr>
                <w:rFonts w:hint="eastAsia" w:ascii="宋体" w:hAnsi="宋体" w:eastAsia="宋体" w:cs="宋体"/>
              </w:rPr>
              <w:t>，平面度优于λ/30</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套</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1-20</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WZS-I偏振光实验系统</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285" w:lineRule="atLeast"/>
              <w:ind w:left="0" w:right="0"/>
              <w:textAlignment w:val="center"/>
            </w:pPr>
            <w:r>
              <w:rPr>
                <w:rFonts w:hint="eastAsia" w:ascii="宋体" w:hAnsi="宋体" w:eastAsia="宋体" w:cs="宋体"/>
                <w:sz w:val="24"/>
                <w:szCs w:val="24"/>
              </w:rPr>
              <w:t>1、光源：半导体激光器λ≤650，输出功率1.5~2.0mW，工作电压5V，</w:t>
            </w:r>
          </w:p>
          <w:p>
            <w:pPr>
              <w:pStyle w:val="7"/>
              <w:keepNext w:val="0"/>
              <w:keepLines w:val="0"/>
              <w:widowControl/>
              <w:suppressLineNumbers w:val="0"/>
              <w:spacing w:before="0" w:beforeAutospacing="0" w:after="150" w:afterAutospacing="0" w:line="285" w:lineRule="atLeast"/>
              <w:ind w:left="0" w:right="0"/>
              <w:textAlignment w:val="center"/>
            </w:pPr>
            <w:r>
              <w:rPr>
                <w:rFonts w:hint="eastAsia" w:ascii="宋体" w:hAnsi="宋体" w:eastAsia="宋体" w:cs="宋体"/>
                <w:sz w:val="24"/>
                <w:szCs w:val="24"/>
              </w:rPr>
              <w:t>2、激光光束三维可调，三维精密光学调整架，进口螺纹副螺距≤0.15mm;</w:t>
            </w:r>
          </w:p>
          <w:p>
            <w:pPr>
              <w:pStyle w:val="7"/>
              <w:keepNext w:val="0"/>
              <w:keepLines w:val="0"/>
              <w:widowControl/>
              <w:suppressLineNumbers w:val="0"/>
              <w:spacing w:before="0" w:beforeAutospacing="0" w:after="150" w:afterAutospacing="0" w:line="285" w:lineRule="atLeast"/>
              <w:ind w:left="0" w:right="0"/>
              <w:textAlignment w:val="center"/>
            </w:pPr>
            <w:r>
              <w:rPr>
                <w:rFonts w:hint="eastAsia" w:ascii="宋体" w:hAnsi="宋体" w:eastAsia="宋体" w:cs="宋体"/>
                <w:sz w:val="24"/>
                <w:szCs w:val="24"/>
              </w:rPr>
              <w:t>2、数字式光功率计：20μW、200 μW、2mW 、20mW四档；三位半数码管显示，数字按键量程切换；</w:t>
            </w:r>
          </w:p>
          <w:p>
            <w:pPr>
              <w:pStyle w:val="7"/>
              <w:keepNext w:val="0"/>
              <w:keepLines w:val="0"/>
              <w:widowControl/>
              <w:suppressLineNumbers w:val="0"/>
              <w:spacing w:before="0" w:beforeAutospacing="0" w:after="150" w:afterAutospacing="0" w:line="285" w:lineRule="atLeast"/>
              <w:ind w:left="0" w:right="0"/>
              <w:textAlignment w:val="center"/>
            </w:pPr>
            <w:r>
              <w:rPr>
                <w:rFonts w:hint="eastAsia" w:ascii="宋体" w:hAnsi="宋体" w:eastAsia="宋体" w:cs="宋体"/>
                <w:sz w:val="24"/>
                <w:szCs w:val="24"/>
              </w:rPr>
              <w:t>3、高精度1/2波片、1/4波片、偏振片、三棱镜；精密偏光镜架及波片架一组，角度可调分辨率≤0.07°</w:t>
            </w:r>
          </w:p>
          <w:p>
            <w:pPr>
              <w:pStyle w:val="7"/>
              <w:keepNext w:val="0"/>
              <w:keepLines w:val="0"/>
              <w:widowControl/>
              <w:suppressLineNumbers w:val="0"/>
              <w:spacing w:before="0" w:beforeAutospacing="0" w:after="150" w:afterAutospacing="0" w:line="285" w:lineRule="atLeast"/>
              <w:ind w:left="0" w:right="0"/>
              <w:textAlignment w:val="center"/>
            </w:pPr>
            <w:r>
              <w:rPr>
                <w:rFonts w:hint="eastAsia" w:ascii="宋体" w:hAnsi="宋体" w:eastAsia="宋体" w:cs="宋体"/>
                <w:sz w:val="24"/>
                <w:szCs w:val="24"/>
              </w:rPr>
              <w:t>4、精密双向旋转台，角度可调分辨率≤1°；</w:t>
            </w:r>
          </w:p>
          <w:p>
            <w:pPr>
              <w:pStyle w:val="7"/>
              <w:keepNext w:val="0"/>
              <w:keepLines w:val="0"/>
              <w:widowControl/>
              <w:suppressLineNumbers w:val="0"/>
              <w:spacing w:before="0" w:beforeAutospacing="0" w:after="150" w:afterAutospacing="0" w:line="285" w:lineRule="atLeast"/>
              <w:ind w:left="0" w:right="0"/>
              <w:textAlignment w:val="center"/>
            </w:pPr>
            <w:r>
              <w:rPr>
                <w:rFonts w:hint="eastAsia" w:ascii="宋体" w:hAnsi="宋体" w:eastAsia="宋体" w:cs="宋体"/>
                <w:sz w:val="24"/>
                <w:szCs w:val="24"/>
              </w:rPr>
              <w:t>5、白屏一块，便于观察现象，</w:t>
            </w:r>
          </w:p>
          <w:p>
            <w:pPr>
              <w:pStyle w:val="7"/>
              <w:keepNext w:val="0"/>
              <w:keepLines w:val="0"/>
              <w:widowControl/>
              <w:suppressLineNumbers w:val="0"/>
              <w:spacing w:before="0" w:beforeAutospacing="0" w:after="150" w:afterAutospacing="0" w:line="285" w:lineRule="atLeast"/>
              <w:ind w:left="0" w:right="0"/>
              <w:textAlignment w:val="center"/>
            </w:pPr>
            <w:r>
              <w:rPr>
                <w:rFonts w:hint="eastAsia" w:ascii="宋体" w:hAnsi="宋体" w:eastAsia="宋体" w:cs="宋体"/>
                <w:sz w:val="24"/>
                <w:szCs w:val="24"/>
              </w:rPr>
              <w:t>6、光学导轨100cm，分度值1mm,配套专用滑块5只</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台</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1-21</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弦振动实验台（含信号源、示波器）</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1、环境条件：使用温度范围：5℃~35℃，相对湿度范围：25%~85%</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2、电源：交流 220V±10%，50Hz。</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3、频率：频率信号为正弦波，失真度≤1%。</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频率范围：频段 I 为 15~100Hz，频段Ⅱ为100~1000Hz。</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4、频率显示：采用等精度测频，四位数字显示。测量范围：0~99.99Hz，分辨率 0.01Hz，测频精度：±（0.2%＋0.01 Hz）；100.0~999.9Hz，分辨率 0.1Hz，测频精度：±（0.2%＋0.1 Hz）；1000~9999Hz，分辨率 1Hz，测频精度：±（0.2%＋1 Hz）；5、功率输出</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输出幅度：0~10VP-P连续可调，输出电流：≥0.5A</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5、能结合示波器测量弦线上横波的传播速度和弦线的线密度等</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6、张力：0.98～49N多档可调，最小步进值0.98N；</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7、弦线：长度150～700mm连续可调，共3种线密度。</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8、电磁驱动器和电磁探测器各一。</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9、模拟信号发生器：频率范围：频段I：15～100Hz，频段II：100～1000Hz；测频精度：±0.2%；</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10、机身须配置手机扫描二维码，进入操作界面可显示仪器信息、关注公众号、点击查看产品使用说明书、点击查看产品测定视频、故障报修、用户注册等内容，须提供二维码手机操作截图证明文件。</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11、示波器：</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1）≥120MHz带宽，≥2路模拟通道，实时采样率：≥1 GSa/s</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2）存储深度：≥24 Mpts，所有波形点可以用excel格式导出在电脑打开分析；实时采集波形捕获率：≥30,000wfms/s，可以从后端触发接口测试出该刷新率；支持硬件实时的波形录制、回放功能，最多录制可达60000帧，并且可以以其中一个波形为模板对所有波形做对比分析，分析结果以冷热色调显示出来</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3）低底噪，垂直档位：1mV/div～10V/div；垂直分辨率：最高8bit；垂直单位支持W、A、V和U，垂直通道标签可编辑；时基精度：≤ ±25 ppm；水平时基：2 ns/div 至50 s/div；时基模式：Y-T、X-Y（可同时观测Y-T波形）、Roll、延迟扫描、慢扫描</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4）多种触发功能边沿触发、脉宽触发、斜率触发、视频触发、码型触发、持续时间、RS232、I2C、SPI、欠幅触发、超幅触发、第N边沿、延迟触发、超时触发；标配并行解码，可升级至RS232解码、I2C解码、SPI解码</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5）37种带统计的自动测量功能，测量区域可选屏幕或光标，测量信源可选CH1-CH4或MATH，提供专用测量键，方便测量；5组统计测量，可以统计测量结果最大值，最小值，平均值和标准差，测量次数，测量结果字号可设（标准/大/特大）；数学运算：支持A+B、A-B、A×B、A÷B、FFT、A&amp;&amp;B、A||B、A^B、!A、intg、diff、sqrt、lg、ln、exp、abs、Filter</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6）数字滤波：低通、高通、带通、带阻；AUTO可自动激活通道，AUTO参数可设；显示屏：7英寸高清WVGA（800×480）TFT宽屏，12x8div，多级波形灰度显示</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7）接口：USB Host，USB Device(USBTMC)，，AUX(Pass/Fail，Trigout)，USB-GPIB（可选）。LAN接口符合LXI协议，并提供证明</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套</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1-22</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数据采集器</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与计算机USB接口通讯，无须外接电源，最大采样率80K；支持四通道并行采集，全数字通道，采用BT自锁接口；可根据实验教学需要，选择接插有线接口或无线接收实现与传感器通讯；支持有线/无线状态下的四通道并行采集</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个</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1-23</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力传感器</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测量范围：-20N~+20N；分度：≤0.01N；可用于测拉力（显示正值）和压力（显示负值），手柄式结构，可以防止传感器脱落保证数据传输稳定，支持与采集器的有线通讯、无线通讯和彩屏独立数据显示三种工作方式，支持热插拔，可在windows系统、安卓和iOS系统下分别进行实验演示。</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2、数据传输采用具有方向性和自锁功能的BT接口方式；可通过传感器自带的硬件调零按钮实现数据调零功能</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个</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1-24</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分体式位移传感器</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285" w:lineRule="atLeast"/>
              <w:ind w:left="0" w:right="0"/>
            </w:pPr>
            <w:r>
              <w:rPr>
                <w:rFonts w:hint="eastAsia" w:ascii="宋体" w:hAnsi="宋体" w:eastAsia="宋体" w:cs="宋体"/>
                <w:sz w:val="24"/>
                <w:szCs w:val="24"/>
              </w:rPr>
              <w:t>1、由发射器和接收器构成。发射器由电池供电，易与现有实验装置（运动小车、弹簧振子等）组合；接收器与采集器连接，测量范围：0cm ~200cm，分度：≤1mm。无测量盲区，支持热插拔，支持与采集器的有线通讯、无线通讯和独立彩屏数据显示三种工作方式，可在windows系统、安卓和iOS系统下分别进行实验演示。</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个</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1-25</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光电门传感器</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285" w:lineRule="atLeast"/>
              <w:ind w:left="0" w:right="0"/>
            </w:pPr>
            <w:r>
              <w:rPr>
                <w:rFonts w:hint="eastAsia" w:ascii="宋体" w:hAnsi="宋体" w:eastAsia="宋体" w:cs="宋体"/>
                <w:sz w:val="24"/>
                <w:szCs w:val="24"/>
              </w:rPr>
              <w:t>1、分度：≤2μS；用于测量挡光片（U型、I型）的挡光时间，连接插口采用BT接口，具有方向性和自锁功能，可以防止传感器脱落保证数据传输稳定，可与无线传输模块自由组合，支持热插拔，可在windows系统、安卓和iOS系统下分别进行实验演示。</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个</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1-26</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多用力学轨道</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285" w:lineRule="atLeast"/>
              <w:ind w:left="0" w:right="0"/>
            </w:pPr>
            <w:r>
              <w:rPr>
                <w:rFonts w:hint="eastAsia" w:ascii="宋体" w:hAnsi="宋体" w:eastAsia="宋体" w:cs="宋体"/>
                <w:sz w:val="24"/>
                <w:szCs w:val="24"/>
              </w:rPr>
              <w:t>1、含1.2m黑色强化铝合金轨道1条、轨道小车2辆、弹簧2条、固定柱2只、50克配重片4片、5克配重块4只、沙桶1只、挡光片五片（20×2、40、60、80）、摩擦块1块、磁碰片2片、弹性碰圈2只、滑轮1套、磁碰座架1套、小车收纳器1套、轨道倾角调节器1套、T型支撑架1只、L型挂架2只、铝合金I型支架4只、塑料I型支架2只、策动源1套、紧固件一宗</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个</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1-27</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智能机械能守恒实验器</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285" w:lineRule="atLeast"/>
              <w:ind w:left="0" w:right="0"/>
            </w:pPr>
            <w:r>
              <w:rPr>
                <w:rFonts w:hint="eastAsia" w:ascii="宋体" w:hAnsi="宋体" w:eastAsia="宋体" w:cs="宋体"/>
                <w:sz w:val="24"/>
                <w:szCs w:val="24"/>
              </w:rPr>
              <w:t>由底座、金属刻度板（含释放装置、挡光片）、立柱、传感器电路、摆锤（为方便教学，摆锤内置光电门传感器，不接受外置）、摆杆、固定螺栓组成，直接与计算机USB口连接通讯，通过摆锤的一次运动，可获得摆锤在六个不同高度位置的速度数据，速度采集不能由角速度或转速换算而来，进一步得到动能和势能，研究机械能守恒定律。</w:t>
            </w:r>
          </w:p>
          <w:p>
            <w:pPr>
              <w:pStyle w:val="7"/>
              <w:keepNext w:val="0"/>
              <w:keepLines w:val="0"/>
              <w:widowControl/>
              <w:suppressLineNumbers w:val="0"/>
              <w:spacing w:before="0" w:beforeAutospacing="0" w:after="150" w:afterAutospacing="0" w:line="285" w:lineRule="atLeast"/>
              <w:ind w:left="0" w:right="0"/>
            </w:pPr>
            <w:r>
              <w:rPr>
                <w:rFonts w:hint="eastAsia" w:ascii="宋体" w:hAnsi="宋体" w:eastAsia="宋体" w:cs="宋体"/>
                <w:sz w:val="24"/>
                <w:szCs w:val="24"/>
              </w:rPr>
              <w:t>该产品必须满足以下要求：</w:t>
            </w:r>
          </w:p>
          <w:p>
            <w:pPr>
              <w:pStyle w:val="7"/>
              <w:keepNext w:val="0"/>
              <w:keepLines w:val="0"/>
              <w:widowControl/>
              <w:suppressLineNumbers w:val="0"/>
              <w:spacing w:before="0" w:beforeAutospacing="0" w:after="150" w:afterAutospacing="0" w:line="285" w:lineRule="atLeast"/>
              <w:ind w:left="0" w:right="0"/>
            </w:pPr>
            <w:r>
              <w:rPr>
                <w:rFonts w:hint="eastAsia" w:ascii="宋体" w:hAnsi="宋体" w:eastAsia="宋体" w:cs="宋体"/>
                <w:sz w:val="24"/>
                <w:szCs w:val="24"/>
              </w:rPr>
              <w:t>1、摆锤在一次下落过程中，通过其自带的光电门传感器，可以同时测量并记录摆锤在六个不同高度时的速度大小。</w:t>
            </w:r>
          </w:p>
          <w:p>
            <w:pPr>
              <w:pStyle w:val="7"/>
              <w:keepNext w:val="0"/>
              <w:keepLines w:val="0"/>
              <w:widowControl/>
              <w:suppressLineNumbers w:val="0"/>
              <w:spacing w:before="0" w:beforeAutospacing="0" w:after="150" w:afterAutospacing="0" w:line="285" w:lineRule="atLeast"/>
              <w:ind w:left="0" w:right="0"/>
            </w:pPr>
            <w:r>
              <w:rPr>
                <w:rFonts w:hint="eastAsia" w:ascii="宋体" w:hAnsi="宋体" w:eastAsia="宋体" w:cs="宋体"/>
                <w:sz w:val="24"/>
                <w:szCs w:val="24"/>
              </w:rPr>
              <w:t>2、软件自动计算并记录出6个挡光位置的速度大小，并能进一步计算出摆锤的动能、势能和机械能，同时描绘出动能、势能和机械能随摆锤下落高度的变化图线。通过数据表格和图线可以得到随着摆锤下落时，随高度的降低，动能增大，势能减小，机械能不变的实验结论。</w:t>
            </w:r>
          </w:p>
          <w:p>
            <w:pPr>
              <w:pStyle w:val="7"/>
              <w:keepNext w:val="0"/>
              <w:keepLines w:val="0"/>
              <w:widowControl/>
              <w:suppressLineNumbers w:val="0"/>
              <w:spacing w:before="0" w:beforeAutospacing="0" w:after="150" w:afterAutospacing="0" w:line="285" w:lineRule="atLeast"/>
              <w:ind w:left="0" w:right="0"/>
            </w:pPr>
            <w:r>
              <w:rPr>
                <w:rFonts w:hint="eastAsia" w:ascii="宋体" w:hAnsi="宋体" w:eastAsia="宋体" w:cs="宋体"/>
                <w:sz w:val="24"/>
                <w:szCs w:val="24"/>
              </w:rPr>
              <w:t>3、摆锤速度的记录非通过角速度或转速换算而来，为通过光电门传感器测得挡光时间，并由基本公式“</w:t>
            </w:r>
            <w:r>
              <w:rPr>
                <w:rStyle w:val="11"/>
                <w:rFonts w:hint="eastAsia" w:ascii="宋体" w:hAnsi="宋体" w:eastAsia="宋体" w:cs="宋体"/>
                <w:sz w:val="24"/>
                <w:szCs w:val="24"/>
              </w:rPr>
              <w:t>V</w:t>
            </w:r>
            <w:r>
              <w:rPr>
                <w:rFonts w:hint="eastAsia" w:ascii="宋体" w:hAnsi="宋体" w:eastAsia="宋体" w:cs="宋体"/>
                <w:sz w:val="24"/>
                <w:szCs w:val="24"/>
              </w:rPr>
              <w:t>=</w:t>
            </w:r>
            <w:r>
              <w:rPr>
                <w:rStyle w:val="11"/>
                <w:rFonts w:hint="eastAsia" w:ascii="宋体" w:hAnsi="宋体" w:eastAsia="宋体" w:cs="宋体"/>
                <w:sz w:val="24"/>
                <w:szCs w:val="24"/>
              </w:rPr>
              <w:t>S/T</w:t>
            </w:r>
            <w:r>
              <w:rPr>
                <w:rFonts w:hint="eastAsia" w:ascii="宋体" w:hAnsi="宋体" w:eastAsia="宋体" w:cs="宋体"/>
                <w:sz w:val="24"/>
                <w:szCs w:val="24"/>
              </w:rPr>
              <w:t>”得出瞬时速度，重力势能通过设定零势能点，由刻度板度数高度</w:t>
            </w:r>
            <w:r>
              <w:rPr>
                <w:rStyle w:val="11"/>
                <w:rFonts w:hint="eastAsia" w:ascii="宋体" w:hAnsi="宋体" w:eastAsia="宋体" w:cs="宋体"/>
                <w:sz w:val="24"/>
                <w:szCs w:val="24"/>
              </w:rPr>
              <w:t>h</w:t>
            </w:r>
            <w:r>
              <w:rPr>
                <w:rFonts w:hint="eastAsia" w:ascii="宋体" w:hAnsi="宋体" w:eastAsia="宋体" w:cs="宋体"/>
                <w:sz w:val="24"/>
                <w:szCs w:val="24"/>
              </w:rPr>
              <w:t>，并由基本公式</w:t>
            </w:r>
            <w:r>
              <w:rPr>
                <w:rStyle w:val="11"/>
                <w:rFonts w:hint="eastAsia" w:ascii="宋体" w:hAnsi="宋体" w:eastAsia="宋体" w:cs="宋体"/>
                <w:sz w:val="24"/>
                <w:szCs w:val="24"/>
              </w:rPr>
              <w:t>Ep</w:t>
            </w:r>
            <w:r>
              <w:rPr>
                <w:rFonts w:hint="eastAsia" w:ascii="宋体" w:hAnsi="宋体" w:eastAsia="宋体" w:cs="宋体"/>
                <w:sz w:val="24"/>
                <w:szCs w:val="24"/>
              </w:rPr>
              <w:t>=</w:t>
            </w:r>
            <w:r>
              <w:rPr>
                <w:rStyle w:val="11"/>
                <w:rFonts w:hint="eastAsia" w:ascii="宋体" w:hAnsi="宋体" w:eastAsia="宋体" w:cs="宋体"/>
                <w:sz w:val="24"/>
                <w:szCs w:val="24"/>
              </w:rPr>
              <w:t>mgh</w:t>
            </w:r>
            <w:r>
              <w:rPr>
                <w:rFonts w:hint="eastAsia" w:ascii="宋体" w:hAnsi="宋体" w:eastAsia="宋体" w:cs="宋体"/>
                <w:sz w:val="24"/>
                <w:szCs w:val="24"/>
              </w:rPr>
              <w:t>得出，符合高中各年级学生学习和认知规律。</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个</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1-28</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多量程电流传感器</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1、测量范围：-3A~+3A；分度：≤0.01A</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2、测量范围：-300mA~+300mA；分度：≤0.1mA</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3、测量范围：-30mA ~+30mA；分度：≤0.01 mA</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4、可通过传感器自带的硬件调零按钮实现数据调零功能；多量程电流传感器可通过传感器上按钮对量程进行切换；数据传输采用具有方向性和自锁功能的BT接口方式；</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可以防止传感器脱落保证数据传输稳定，支持与采集器的有线通讯、无线通讯和彩屏独立数据显示三种工作方式，支持热插拔，可在windows系统、安卓和iOS系统下分别进行实验演示。</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个</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1-29</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多量程电压传感器</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1、测量范围：-20V~+20V；分度：≤0.01V；</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2、测量范围：-2V~+2V；分度：≤0.001V；</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3、测量范围：-0.2V~+0.2V；分度：≤0.1mV；</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4、可通过传感器自带的硬件调零按钮实现数据调零功能；多量程电压传感器可通过传感器上按钮对量程进行切换；数据传输采用具有方向性和自锁功能的BT接口方式；</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可以防止传感器脱落保证数据传输稳定，支持与采集器的有线通讯、无线通讯和彩屏独立数据显示三种工作方式，支持热插拔，可在windows系统、安卓和iOS系统下分别进行实验演示。</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个</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1-30</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电学实验板</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285" w:lineRule="atLeast"/>
              <w:ind w:left="0" w:right="0"/>
            </w:pPr>
            <w:r>
              <w:rPr>
                <w:rFonts w:hint="eastAsia" w:ascii="宋体" w:hAnsi="宋体" w:eastAsia="宋体" w:cs="宋体"/>
                <w:sz w:val="24"/>
                <w:szCs w:val="24"/>
              </w:rPr>
              <w:t>1、包含半波整流与滤波，全波整流与滤波，复杂电路分析， RC、RL 移相，伏安法测电池的电动势和内阻，补偿法测量电池电动势，分压与限流电路，伏安法测电阻、测电阻丝电阻率，二极管特性曲线，三极管特性曲线，三极管放大电路，恒压源、恒流源、双稳态电路、多谐振荡、电容充放电及串并联、振荡电路、自感现象、描绘小灯泡的伏安特性曲线、与门电路、或门电路、非门电路、电感等实验板，可完成几十例中学电学实验</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个</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1-31</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电阻定律实验器</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1、由直径不同的铁、铁铬、镍铬三种金属丝组成，配合电流、电压传感器使用，探究导体的电阻与长度、截面积的关系</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个</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1-32</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专业零号实芯椴木绘图板规格（L*W*H）1200*900*18mm</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textAlignment w:val="center"/>
            </w:pPr>
            <w:r>
              <w:rPr>
                <w:rFonts w:hint="eastAsia" w:ascii="宋体" w:hAnsi="宋体" w:eastAsia="宋体" w:cs="宋体"/>
                <w:sz w:val="24"/>
                <w:szCs w:val="24"/>
              </w:rPr>
              <w:t>1、规格(L×W×H）≥1200×900×18mm；采用椴木材质，表面细腻、平整、原木色，内衬有新型实芯材料，耐压不变形，包边采用优质实木材质（宽约3mm以上），厚度≥18mm，具有实用、耐用、不易变形的性能</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个</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1-33</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分光计示教仪</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1、CCD:1/3彩色CCD,1020（H）×596(V)，带OSD菜单（可调节成像）；</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2、19寸超薄LED彩色液晶显视器：分辨率1366×768</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3、高清镜头：≤10mm；</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4、视频输出：1.0Vp-p75欧姆。</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5、配套分光计使用</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台</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1-34</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读数显微镜示教仪</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1、CCD:1/3彩色CCD,1020（H）×596(V)，带OSD菜单（可调节成像）；</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2、19寸超薄LED彩色液晶显视器：分辨率1366×768</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3、高清镜头：≤10mm；</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4、视频输出：1.0Vp-p75欧姆。</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5、配套读数显微镜使用</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台</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1-35</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迈克逊干涉仪</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150" w:afterAutospacing="0" w:line="285" w:lineRule="atLeast"/>
              <w:ind w:left="0" w:right="0"/>
              <w:textAlignment w:val="center"/>
            </w:pPr>
            <w:r>
              <w:rPr>
                <w:rFonts w:hint="eastAsia" w:ascii="宋体" w:hAnsi="宋体" w:eastAsia="宋体" w:cs="宋体"/>
                <w:sz w:val="24"/>
                <w:szCs w:val="24"/>
              </w:rPr>
              <w:t>1、移动镜移动范围 ：0-25mm</w:t>
            </w:r>
          </w:p>
          <w:p>
            <w:pPr>
              <w:pStyle w:val="7"/>
              <w:keepNext w:val="0"/>
              <w:keepLines w:val="0"/>
              <w:widowControl/>
              <w:suppressLineNumbers w:val="0"/>
              <w:wordWrap w:val="0"/>
              <w:spacing w:before="0" w:beforeAutospacing="0" w:after="150" w:afterAutospacing="0" w:line="285" w:lineRule="atLeast"/>
              <w:ind w:left="0" w:right="0"/>
              <w:textAlignment w:val="center"/>
            </w:pPr>
            <w:r>
              <w:rPr>
                <w:rFonts w:hint="eastAsia" w:ascii="宋体" w:hAnsi="宋体" w:eastAsia="宋体" w:cs="宋体"/>
                <w:sz w:val="24"/>
                <w:szCs w:val="24"/>
              </w:rPr>
              <w:t>2、移动镜粗动测微手轮分度值 ：≤0.01mm，</w:t>
            </w:r>
          </w:p>
          <w:p>
            <w:pPr>
              <w:pStyle w:val="7"/>
              <w:keepNext w:val="0"/>
              <w:keepLines w:val="0"/>
              <w:widowControl/>
              <w:suppressLineNumbers w:val="0"/>
              <w:wordWrap w:val="0"/>
              <w:spacing w:before="0" w:beforeAutospacing="0" w:after="150" w:afterAutospacing="0" w:line="285" w:lineRule="atLeast"/>
              <w:ind w:left="0" w:right="0"/>
              <w:textAlignment w:val="center"/>
            </w:pPr>
            <w:r>
              <w:rPr>
                <w:rFonts w:hint="eastAsia" w:ascii="宋体" w:hAnsi="宋体" w:eastAsia="宋体" w:cs="宋体"/>
                <w:sz w:val="24"/>
                <w:szCs w:val="24"/>
              </w:rPr>
              <w:t>3、移动镜微动测微手轮分度值 ：≤0.0001mm</w:t>
            </w:r>
          </w:p>
          <w:p>
            <w:pPr>
              <w:pStyle w:val="7"/>
              <w:keepNext w:val="0"/>
              <w:keepLines w:val="0"/>
              <w:widowControl/>
              <w:suppressLineNumbers w:val="0"/>
              <w:wordWrap w:val="0"/>
              <w:spacing w:before="0" w:beforeAutospacing="0" w:after="150" w:afterAutospacing="0" w:line="285" w:lineRule="atLeast"/>
              <w:ind w:left="0" w:right="0"/>
              <w:textAlignment w:val="center"/>
            </w:pPr>
            <w:r>
              <w:rPr>
                <w:rFonts w:hint="eastAsia" w:ascii="宋体" w:hAnsi="宋体" w:eastAsia="宋体" w:cs="宋体"/>
                <w:sz w:val="24"/>
                <w:szCs w:val="24"/>
              </w:rPr>
              <w:t>4、动镜移动精度（微调）：≤0.0001mm</w:t>
            </w:r>
          </w:p>
          <w:p>
            <w:pPr>
              <w:pStyle w:val="7"/>
              <w:keepNext w:val="0"/>
              <w:keepLines w:val="0"/>
              <w:widowControl/>
              <w:suppressLineNumbers w:val="0"/>
              <w:wordWrap w:val="0"/>
              <w:spacing w:before="0" w:beforeAutospacing="0" w:after="150" w:afterAutospacing="0" w:line="285" w:lineRule="atLeast"/>
              <w:ind w:left="0" w:right="0"/>
              <w:textAlignment w:val="center"/>
            </w:pPr>
            <w:r>
              <w:rPr>
                <w:rFonts w:hint="eastAsia" w:ascii="宋体" w:hAnsi="宋体" w:eastAsia="宋体" w:cs="宋体"/>
                <w:sz w:val="24"/>
                <w:szCs w:val="24"/>
              </w:rPr>
              <w:t>5、分束板和补偿板平面度：≤λ/25</w:t>
            </w:r>
          </w:p>
          <w:p>
            <w:pPr>
              <w:pStyle w:val="7"/>
              <w:keepNext w:val="0"/>
              <w:keepLines w:val="0"/>
              <w:widowControl/>
              <w:suppressLineNumbers w:val="0"/>
              <w:wordWrap w:val="0"/>
              <w:spacing w:before="0" w:beforeAutospacing="0" w:after="150" w:afterAutospacing="0" w:line="285" w:lineRule="atLeast"/>
              <w:ind w:left="0" w:right="0"/>
              <w:textAlignment w:val="center"/>
            </w:pPr>
            <w:r>
              <w:rPr>
                <w:rFonts w:hint="eastAsia" w:ascii="宋体" w:hAnsi="宋体" w:eastAsia="宋体" w:cs="宋体"/>
                <w:sz w:val="24"/>
                <w:szCs w:val="24"/>
              </w:rPr>
              <w:t>6、万分之一调节机构：采用双螺旋测微头式的调节机构，移动镜行程≥25mm</w:t>
            </w:r>
          </w:p>
          <w:p>
            <w:pPr>
              <w:pStyle w:val="7"/>
              <w:keepNext w:val="0"/>
              <w:keepLines w:val="0"/>
              <w:widowControl/>
              <w:suppressLineNumbers w:val="0"/>
              <w:wordWrap w:val="0"/>
              <w:spacing w:before="0" w:beforeAutospacing="0" w:after="150" w:afterAutospacing="0" w:line="285" w:lineRule="atLeast"/>
              <w:ind w:left="0" w:right="0"/>
              <w:textAlignment w:val="center"/>
            </w:pPr>
            <w:r>
              <w:rPr>
                <w:rFonts w:hint="eastAsia" w:ascii="宋体" w:hAnsi="宋体" w:eastAsia="宋体" w:cs="宋体"/>
                <w:sz w:val="24"/>
                <w:szCs w:val="24"/>
              </w:rPr>
              <w:t>7、反射镜外径尺寸≥35mm，调节全部采用精密二维光学调整架结构，高 稳 定 性、长使用寿命，配置高精度进口细牙螺纹副，170牙及螺距≤0.15mm</w:t>
            </w:r>
          </w:p>
          <w:p>
            <w:pPr>
              <w:pStyle w:val="7"/>
              <w:keepNext w:val="0"/>
              <w:keepLines w:val="0"/>
              <w:widowControl/>
              <w:suppressLineNumbers w:val="0"/>
              <w:wordWrap w:val="0"/>
              <w:spacing w:before="0" w:beforeAutospacing="0" w:after="150" w:afterAutospacing="0" w:line="285" w:lineRule="atLeast"/>
              <w:ind w:left="0" w:right="0"/>
              <w:textAlignment w:val="center"/>
            </w:pPr>
            <w:r>
              <w:rPr>
                <w:rFonts w:hint="eastAsia" w:ascii="宋体" w:hAnsi="宋体" w:eastAsia="宋体" w:cs="宋体"/>
                <w:sz w:val="24"/>
                <w:szCs w:val="24"/>
              </w:rPr>
              <w:t>8、钣金蜂窝箱式底座、稳定、开放、直观，具有良好的隔震效果。</w:t>
            </w:r>
          </w:p>
          <w:p>
            <w:pPr>
              <w:pStyle w:val="7"/>
              <w:keepNext w:val="0"/>
              <w:keepLines w:val="0"/>
              <w:widowControl/>
              <w:suppressLineNumbers w:val="0"/>
              <w:wordWrap w:val="0"/>
              <w:spacing w:before="0" w:beforeAutospacing="0" w:after="150" w:afterAutospacing="0" w:line="285" w:lineRule="atLeast"/>
              <w:ind w:left="0" w:right="0"/>
              <w:textAlignment w:val="center"/>
            </w:pPr>
            <w:r>
              <w:rPr>
                <w:rFonts w:hint="eastAsia" w:ascii="宋体" w:hAnsi="宋体" w:eastAsia="宋体" w:cs="宋体"/>
                <w:sz w:val="24"/>
                <w:szCs w:val="24"/>
              </w:rPr>
              <w:t>9、光源：一体式氦氖激光器：输入电压：220V交流</w:t>
            </w:r>
          </w:p>
          <w:p>
            <w:pPr>
              <w:pStyle w:val="7"/>
              <w:keepNext w:val="0"/>
              <w:keepLines w:val="0"/>
              <w:widowControl/>
              <w:suppressLineNumbers w:val="0"/>
              <w:wordWrap w:val="0"/>
              <w:spacing w:before="0" w:beforeAutospacing="0" w:after="150" w:afterAutospacing="0" w:line="285" w:lineRule="atLeast"/>
              <w:ind w:left="0" w:right="0"/>
              <w:textAlignment w:val="center"/>
            </w:pPr>
            <w:r>
              <w:rPr>
                <w:rFonts w:hint="eastAsia" w:ascii="宋体" w:hAnsi="宋体" w:eastAsia="宋体" w:cs="宋体"/>
                <w:sz w:val="24"/>
                <w:szCs w:val="24"/>
              </w:rPr>
              <w:t>10、工作电流：2－3mA</w:t>
            </w:r>
          </w:p>
          <w:p>
            <w:pPr>
              <w:pStyle w:val="7"/>
              <w:keepNext w:val="0"/>
              <w:keepLines w:val="0"/>
              <w:widowControl/>
              <w:suppressLineNumbers w:val="0"/>
              <w:wordWrap w:val="0"/>
              <w:spacing w:before="0" w:beforeAutospacing="0" w:after="150" w:afterAutospacing="0" w:line="285" w:lineRule="atLeast"/>
              <w:ind w:left="0" w:right="0"/>
              <w:textAlignment w:val="center"/>
            </w:pPr>
            <w:r>
              <w:rPr>
                <w:rFonts w:hint="eastAsia" w:ascii="宋体" w:hAnsi="宋体" w:eastAsia="宋体" w:cs="宋体"/>
                <w:sz w:val="24"/>
                <w:szCs w:val="24"/>
              </w:rPr>
              <w:t>11、激光管腔长≥250mm,输出波长： 632.8nm</w:t>
            </w:r>
          </w:p>
          <w:p>
            <w:pPr>
              <w:pStyle w:val="7"/>
              <w:keepNext w:val="0"/>
              <w:keepLines w:val="0"/>
              <w:widowControl/>
              <w:suppressLineNumbers w:val="0"/>
              <w:wordWrap w:val="0"/>
              <w:spacing w:before="0" w:beforeAutospacing="0" w:after="150" w:afterAutospacing="0" w:line="285" w:lineRule="atLeast"/>
              <w:ind w:left="0" w:right="0"/>
              <w:textAlignment w:val="center"/>
            </w:pPr>
            <w:r>
              <w:rPr>
                <w:rFonts w:hint="eastAsia" w:ascii="宋体" w:hAnsi="宋体" w:eastAsia="宋体" w:cs="宋体"/>
                <w:sz w:val="24"/>
                <w:szCs w:val="24"/>
              </w:rPr>
              <w:t>12、输出功率：＞1.2mW 功率 稳 定 性: ±1%</w:t>
            </w:r>
          </w:p>
          <w:p>
            <w:pPr>
              <w:pStyle w:val="7"/>
              <w:keepNext w:val="0"/>
              <w:keepLines w:val="0"/>
              <w:widowControl/>
              <w:suppressLineNumbers w:val="0"/>
              <w:wordWrap w:val="0"/>
              <w:spacing w:before="0" w:beforeAutospacing="0" w:after="150" w:afterAutospacing="0" w:line="285" w:lineRule="atLeast"/>
              <w:ind w:left="0" w:right="0"/>
              <w:textAlignment w:val="center"/>
            </w:pPr>
            <w:r>
              <w:rPr>
                <w:rFonts w:hint="eastAsia" w:ascii="宋体" w:hAnsi="宋体" w:eastAsia="宋体" w:cs="宋体"/>
                <w:sz w:val="24"/>
                <w:szCs w:val="24"/>
              </w:rPr>
              <w:t>13、带可调式螺纹式升降座，专用二维氦氖激光器调整架</w:t>
            </w:r>
          </w:p>
          <w:p>
            <w:pPr>
              <w:pStyle w:val="7"/>
              <w:keepNext w:val="0"/>
              <w:keepLines w:val="0"/>
              <w:widowControl/>
              <w:suppressLineNumbers w:val="0"/>
              <w:wordWrap w:val="0"/>
              <w:spacing w:before="0" w:beforeAutospacing="0" w:after="150" w:afterAutospacing="0" w:line="285" w:lineRule="atLeast"/>
              <w:ind w:left="0" w:right="0"/>
              <w:textAlignment w:val="center"/>
            </w:pPr>
            <w:r>
              <w:rPr>
                <w:rFonts w:hint="eastAsia" w:ascii="宋体" w:hAnsi="宋体" w:eastAsia="宋体" w:cs="宋体"/>
                <w:sz w:val="24"/>
                <w:szCs w:val="24"/>
              </w:rPr>
              <w:t>14、固定底座为圆盘铸铁底座</w:t>
            </w:r>
          </w:p>
          <w:p>
            <w:pPr>
              <w:pStyle w:val="7"/>
              <w:keepNext w:val="0"/>
              <w:keepLines w:val="0"/>
              <w:widowControl/>
              <w:suppressLineNumbers w:val="0"/>
              <w:wordWrap w:val="0"/>
              <w:spacing w:before="0" w:beforeAutospacing="0" w:after="150" w:afterAutospacing="0" w:line="285" w:lineRule="atLeast"/>
              <w:ind w:left="0" w:right="0"/>
              <w:textAlignment w:val="center"/>
            </w:pPr>
            <w:r>
              <w:rPr>
                <w:rFonts w:hint="eastAsia" w:ascii="宋体" w:hAnsi="宋体" w:eastAsia="宋体" w:cs="宋体"/>
                <w:sz w:val="24"/>
                <w:szCs w:val="24"/>
              </w:rPr>
              <w:t>15、附强磁性扩束镜</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16、配套产品实验指导书及具有CMA和CNAS标识的第三方正规检测报告</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台</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1-36</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光具座及其配件</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（能与阿贝成像与空间滤波实验配套使用）</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1.导轨：含氦氖激光器电源，与氦氖激光器配套使用光学导轨：导轨采用新型铝合金结构设 计，不易变形，表面氧化发黑处理，长度≥1200mm，表面硬质阳极氧化发黑处理后激光刻线，最小读数≤0.1mm ，配套导轨专用方形电器箱底座，仪器整体稳固，并配暗线用电插口</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2.白光源及电源，亮度可调：平行度＞95%，5米内近似平行</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3、含测微头式旋转可调狭缝：缝宽0～4mm, 360°旋转可调，</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4.物屏：人字形，品字屏、F屏各一套</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5.刻度白屏一只</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套</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1-37</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光学滑块及支架</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（能与阿贝成像与空间滤波实验配套使用，20+20+20=60）</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1、光学滑块（20组）</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滑座：PH12-75，通用滑座,滑座与棒柱之间工业级配合，有气注缓冲，防止光学元器坠落损坏；</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一维滑座：PH12-75D，测微头式一维调整，调整范围：左右各20mm，滑座与棒柱之间工业级配合，有气注缓冲，防止光学元器坠落损坏；1只；</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二维滑座：PH12-75E，左右测微头式移动台，调整范围：左右各20mm，升降方向采用螺旋式升降，并具有锁定功能，滑座与棒柱之间工业级配合，有气注缓冲，防止光学元器坠落损坏；1只</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2、支架1（20组）</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透镜架：装卡直径40mm，</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镜架含双凸透镜：材料K9材质， 双凸透镜f=190mm,Φ40mm，</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镜架含双凹透镜：材料K9材质，双凹透镜f=-200mm,Φ40mm，</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镜架含平面反射镜：外径55，直径50mm，平面反射镜镀铝膜</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镜架含平面反射镜：二维调节，内卡直径40mm；直径40mm，平面反射镜镀铝膜，1对，能替换迈克逊干涉仪上反射镜架。</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3、支架2（20组）</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二维调整架：调整角度±3°，通光孔径φ40mm</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套</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1-38</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测微目镜</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1、测量范围：≤8mm，</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2、测量精度：≤0.01mm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3、放大率：≥15 x；</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4、精度：&lt;0.01mm；最小读数：≤0.01mm</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个</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1-39</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WJF数字检流计</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top"/>
          </w:tcPr>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1、按钮手动选档，利用动态校零技术，自动调零，</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2、四档：20μW、200μW、2mW和20mW，≥3位半数码管显示，</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3、数字按键量程切换，带功率信号输出接口，可与数据采集器相连，可智能采集数据，完成光强曲线分布；</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4、连续使用时间大于8小时。</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台</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1-40</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冷却法金属比热容测量实验仪</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应用本仪器可以完成以下实验：</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1.学用PT100铂电阻测量物体的温度；</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2.在强制对流冷却的环境下测量铁、铝样品在100℃时的比热容；</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3.在自然冷却的环境下测量铁、铝样品在100℃时的比热容。</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主要由实验主机、加热器、样品室、风扇、PT100铂电阻等组成</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1.PTC加热器</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工作电压： AC 30V</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稳定温度： &gt;200℃，依室温略有浮动</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限制温度： ≥260℃</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2.数字欧姆表</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量程： 0-199.99Ω</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分辨率： ≤0.01Ω</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3.温度传感器Pt100 温度分辨率≤0.1℃  测量范围-200℃~400℃</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4.金属样品</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数量：铜、铁、铝各一个</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直径：≥ 8mm</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长度： ≥65mm</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5.样品加热室采用透明装置打孔设 计，方便观察、安装及散热</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需与学校现有设备无缝衔接</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台</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1-41</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液体表面张力系数测量实验仪</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1.表面张力系数相对误差：优于±5%（纯水）。</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2.重复性：优于±5%。</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3.采用示波器实时采集连续受力数据，可展示液膜拉脱前后完整的受力曲线。（提供相关证明材料并加盖投标人公章）</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4.采用自由出流方式调节液面高度，液面高度变化连续缓慢均匀，液面下降速率的非线性优于5%。（提供相关证明材料并加盖投标人公章）</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5.液体表面张力系数测定装置</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1)力传感器量程：≥30g（含限力保护措施，让传感器免于损坏）。</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2)力传感器灵敏度：约≥500mV/g。</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3）传感器可在竖直平面内绕轴旋转≥180°，（提供相关证明材料并加盖投标人公章）</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4)测试杯：透明，直径≥100mm，高度≥50mm，含流量调节阀。</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5)接液杯：透明，直径100mm，高度≥50mm，具嘴。</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6)吊环：外径约35mm，内径约33mm，高约20mm，铝合金，自水平。</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7)砝码：8片，质量500mg/片，允差≤±0.25mg，不锈钢材质。</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8.数据采集器</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1)零点调节电压：包含0～3.3V，调节分辨率约≤5mV。</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2)转接示波器显示曲线。</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3)数据采集器电源：DC12V。</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台</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1-42</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良导体导热系数测量实验仪</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实验内容</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1．学习液位控制器的控制原理及冷却水流速的调节方法；</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2．理解稳定流动法测量良导体导热系数的原理；</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3．测量良导体铜的导热系数。</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仪器主要技术参数：</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实验仪由实验仪主机箱（内含牌号为H62的良导体铜样品、四个集成温度传感器、铂电阻温度传感器、电加热器、PID温控单元、液晶显示模块）及具有流速控制功能的水箱等组成。</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1．电加热器： 电压交流220V，功率120W</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2．测试样品： H62铜，热系数标称值约为109W/mK</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3．温控装置： 温控范围室温到≥100℃，显示精度≤0.1℃</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4．集成温度传感器： 测温范围0-90℃，显示精度≤0.1℃</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5．热端采用电热圈加热，热端的加热温度可调；</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6．热端采用铂电阻器测量温度，PID闭环控制加热温度；</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7．采用结构简单及可靠的液位控制器，能很好的控制冷却端的水的流速；</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8.多功能液晶显示模块，可同时显示四个温度传感器的温度，记录温度值方便；</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9．4个集成温度传感器，测温范围0－90℃，显示精度≤0.1℃；</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10．良导体样品是直径≥38.0mm，长为≥230.0mm的圆柱形棒体；</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11．良导体表面采用优质保温棉包裹，使良导体在表面的散热很小；</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12．流速控制器由三个有机玻璃水箱、支架及软管等组成。</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13.自带计时功能，带开始停止复位等功能；</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14.三个水箱的容积从上到下分别是2.5升、0.5升、3.2升</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台</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1-43</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热学综合实验组合仪</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1. 系统包含开放式PID温控仪、独立恒温水箱、粘滞系数实验装置、金属线膨胀系数实验装置等组成部分；（提供仪器视频佐证相关参数）</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2. 粘滞系数测量相对误差：±3%；控温范围：室温～60°C；控温精度：±0.2°C；</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3. 粘滞系数实验装置，需采用3脚设 计，带磁铁槽</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4.测量紫铜金属材质的线膨胀系数，测量精度：优于±5%，温控范围：室温～60°C；控温精度：±0.2°C；</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5. 独立PID温控实验仪：采用彩色液晶显示屏：≥5英寸，分辨率≥800×480 ，可视尺寸≥108 mm×65 mm，需采用高质量按键控制选项。具备实时动态显示加热过程的温度、功率调节曲线、参数等显示，具有某个温度点达到稳定后提示功能“开始做实验”；确保显示的加热曲线和功率曲线数据真实，不做任何处理；带有通道切换、风扇控制功能，测试仪中不可集成水箱。（提供仪器视频佐证相关参数）</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6. 温差校准功能：带有温度自动校准程序，不开箱即可校准温度，测量温度和实际温度之间的误差±0.1°C；（提供校准过程视频）</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7. 温度测量模块：数据无线传输至手机或平板，-40℃~125℃，分辨率≤0.01℃，采样速率：10次/秒，防水等级：IP67，支持固件空中升级。</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8、恒温水箱：恒温箱和测试仪需分开独立设 计，加水口需≥15cm，方便加水，要求带三种以上指示灯，分别指示通电状态，加热状态，恒温状态[S1]等，至少三种放水方式，方便水的更换，水浴需带水位指示，带杂质过滤网.（提供仪器视频佐证相关参数）</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9. 需带自行设定PID参数功能，具备一键复位功能：P参数调节范围：0～99，步距1；I参数调节范围：0～99，步距1；D参数调节范围：0～9.9，步距0.1；（提供仪器视频佐证相关参数）</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10. 可在5~15mins内达到热平衡，且钢球管径比＜0.05；</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11. 使用千分表在膨胀反方向进行无阻碍测量；</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12. 设备需带超温、缺水保护，设备自动提示缺水并停止加热；（提供仪器视频佐证相关参数）</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台</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1-44</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塞曼效应实验仪</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1.电子荷质比测量相对误差：≤5%。</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2.永磁铁：磁隙间距7mm，中心处磁感应强度B为1.05T左右，磁场不均匀性＜2%。（提供相关证明材料并加盖投标人公章）</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3.笔形汞灯：灯管直径≥6.0mm，功率≥3W。</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4.窄带干涉滤光片：中心波长546nm，孔径Φ30mm，透射率T＞75%@546nm，半高宽13-17nm。</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5.扩束透镜：孔径Φ46mm，焦距f 159.8mm。</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6.空气隙法布里-珀罗标准具：隔圈厚度≥2mm，隔圈采用热膨胀系数很小的材料，镀膜中心波长546.1nm，反射率95%左右，精细度＞30，平面度＜λ/50，有效通光孔径≥Φ38mm，平行平板材料为K9玻璃。</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7.特斯拉计（选配）：量程：0-2T，分辨率：≤0.001T</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8.变焦镜头：5-50mm手动变焦镜头，焦距、视角及清晰度可手动调节，规格为2/3"。</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9.CMOS摄像头：每行像素为≥1600，每列像素为≥1200，象元尺寸为3.2μm × 3.2μm ，USB接口。</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10.线偏振片：尺寸为≥Φ28mm，带刻度及基准线。</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11.两种磁场测量档位选择，可测三维磁场，分辨率：1Gs/精度：±10Gs，采样速率：1000次/秒，支持固件空中升级，数据无线传输至手机或平板。</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12.专用实验软件：（提供软件功能截图并加盖公章）</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1)安全性设 计：软件需正确输入账号和密码才能使用，并根据管理需要可修改密码；</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2)具备图像动态预览、静态拍照功能；</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3)对原始拍摄图片分析时，可进行放大/缩小等操作；</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4)可对拍摄图片特定行进行灰度分析，快速得到该行的灰度值曲线图；</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5)灰度曲线分析时，可对曲线进行放大/缩小等操作；</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6)实验数据自动计算功能，方便使用者快速得到实验结果；</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7)实验辅助功能，软件集成实验说明书和软件使用手册，方便使用者在PC端快速查阅；</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8）软件可生成实验报告，结合学生信息录入功能，方便进行教学管理。</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台</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1-45</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光速测量仪</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了解光的调制和差频的用周期光调制信号和相位法测量光在 空气中的传播速度。用反射镜增大有效光程，实现短距离测量， 具有实验操作简便，不受外界干扰等优点。</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主要实验内容：</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1、光的调制和差频的一般原理及基本技术；</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2、差频法测位相；</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3、相位法测定调制波波长；☆测定光在空气中的传播速度。</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主要技术参数：</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1、激光波长：650nm；</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2、导轨设 计精密，总长度：≥600mm；</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3、反射镜平移距离 ≥500mm，无晃动；</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4、调制信号频率≥ 100MHz，经二次变频，测试信号为 455KHz 的中频；</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5、用模拟或数字存储示波器测定相移量；</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6、光速测量相对误差：≤ 3%；</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7、示波器：</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1）≥120MHz带宽，≥2路模拟通道，实时采样率：≥1 GSa/s</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2）存储深度：≥24 Mpts，所有波形点可以用excel格式导出在电脑打开分析；实时采集波形捕获率：≥30,000wfms/s，可以从后端触发接口测试出该刷新率；支持硬件实时的波形录制、回放功能，最多录制可达60000帧，并且可以以其中一个波形为模板对所有波形做对比分析，分析结果以冷热色调显示出来</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3）低底噪，垂直档位：1mV/div～10V/div；垂直分辨率：最高8bit；垂直单位支持W、A、V和U，垂直通道标签可编辑；时基精度：≤ ±25 ppm；水平时基：2 ns/div 至50 s/div；时基模式：Y-T、X-Y（可同时观测Y-T波形）、Roll、延迟扫描、慢扫描</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4）多种触发功能边沿触发、脉宽触发、斜率触发、视频触发、码型触发、持续时间、RS232、I2C、SPI、欠幅触发、超幅触发、第N边沿、延迟触发、超时触发；标配并行解码，可升级至RS232解码、I2C解码、SPI解码</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5）37种带统计的自动测量功能，测量区域可选屏幕或光标，测量信源可选CH1-CH4或MATH，提供专用测量键，方便测量；5组统计测量，可以统计测量结果最大值，最小值，平均值和标准差，测量次数，测量结果字号可设（标准/大/特大）；数学运算：支持A+B、A-B、A×B、A÷B、FFT、A&amp;&amp;B、A||B、A^B、!A、intg、diff、sqrt、lg、ln、exp、abs、Filter</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6）数字滤波：低通、高通、带通、带阻；AUTO可自动激活通道，AUTO参数可设；显示屏：7英寸高清WVGA（800×480）TFT宽屏，12x8div，多级波形灰度显示</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7）接口：USB Host，USB Device(USBTMC)，，AUX(Pass/Fail，Trigout)，USB-GPIB（可选）。LAN接口符合LXI协议，并提供证明</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台</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1-46</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普朗克常数测试仪</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1、电流放大器： 电流测量范围：10-7～10-13A</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零漂：开机20分钟后，30分钟内不大于满读数的±0.2%（10-13A档）</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2、电管工作电源：电压调节范围：-3～+2V，-3～+24V,稳定度≤0.1%</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3、光电管：光谱响应范围：340-700nm</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最小阴极灵敏度≥1μA(-2V≤UAK≤0V)</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阳极：镍圈 暗电流I≤5╳10-12A(-2V≤UAK≤0V)</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4、滤光片组：采用带保护罩的拨盘式结构，定位准确，轮选方便，可防止灰尘或异物的落入5组：中心波长365.0nm,404.7nm,435.8nm,546.1nm,578.0nm</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5、汞灯：可用谱线365.0nm、404.7nm、435.8nm、546.1nm、578.0nm</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6、光阑：采用带保护罩的拨盘式结构，定位准确，轮选方便，并可防止灰尘或异物的落入分5组： </w:t>
            </w:r>
            <w:r>
              <w:rPr>
                <w:rFonts w:ascii="微软雅黑" w:hAnsi="微软雅黑" w:eastAsia="微软雅黑" w:cs="微软雅黑"/>
                <w:color w:val="333333"/>
                <w:sz w:val="24"/>
                <w:szCs w:val="24"/>
                <w:shd w:val="clear" w:fill="FFFFFF"/>
              </w:rPr>
              <w:t>Φ</w:t>
            </w:r>
            <w:r>
              <w:rPr>
                <w:rFonts w:hint="eastAsia" w:ascii="宋体" w:hAnsi="宋体" w:eastAsia="宋体" w:cs="宋体"/>
                <w:sz w:val="24"/>
                <w:szCs w:val="24"/>
              </w:rPr>
              <w:t>2、</w:t>
            </w:r>
            <w:r>
              <w:rPr>
                <w:rFonts w:hint="eastAsia" w:ascii="微软雅黑" w:hAnsi="微软雅黑" w:eastAsia="微软雅黑" w:cs="微软雅黑"/>
                <w:color w:val="333333"/>
                <w:sz w:val="24"/>
                <w:szCs w:val="24"/>
                <w:shd w:val="clear" w:fill="FFFFFF"/>
              </w:rPr>
              <w:t>Φ</w:t>
            </w:r>
            <w:r>
              <w:rPr>
                <w:rFonts w:hint="eastAsia" w:ascii="宋体" w:hAnsi="宋体" w:eastAsia="宋体" w:cs="宋体"/>
                <w:sz w:val="24"/>
                <w:szCs w:val="24"/>
              </w:rPr>
              <w:t>4、</w:t>
            </w:r>
            <w:r>
              <w:rPr>
                <w:rFonts w:hint="eastAsia" w:ascii="微软雅黑" w:hAnsi="微软雅黑" w:eastAsia="微软雅黑" w:cs="微软雅黑"/>
                <w:color w:val="333333"/>
                <w:sz w:val="24"/>
                <w:szCs w:val="24"/>
                <w:shd w:val="clear" w:fill="FFFFFF"/>
              </w:rPr>
              <w:t>Φ</w:t>
            </w:r>
            <w:r>
              <w:rPr>
                <w:rFonts w:hint="eastAsia" w:ascii="宋体" w:hAnsi="宋体" w:eastAsia="宋体" w:cs="宋体"/>
                <w:sz w:val="24"/>
                <w:szCs w:val="24"/>
              </w:rPr>
              <w:t>8、</w:t>
            </w:r>
            <w:r>
              <w:rPr>
                <w:rFonts w:hint="eastAsia" w:ascii="微软雅黑" w:hAnsi="微软雅黑" w:eastAsia="微软雅黑" w:cs="微软雅黑"/>
                <w:color w:val="333333"/>
                <w:sz w:val="24"/>
                <w:szCs w:val="24"/>
                <w:shd w:val="clear" w:fill="FFFFFF"/>
              </w:rPr>
              <w:t>Φ</w:t>
            </w:r>
            <w:r>
              <w:rPr>
                <w:rFonts w:hint="eastAsia" w:ascii="宋体" w:hAnsi="宋体" w:eastAsia="宋体" w:cs="宋体"/>
                <w:sz w:val="24"/>
                <w:szCs w:val="24"/>
              </w:rPr>
              <w:t>10、</w:t>
            </w:r>
            <w:r>
              <w:rPr>
                <w:rFonts w:hint="eastAsia" w:ascii="微软雅黑" w:hAnsi="微软雅黑" w:eastAsia="微软雅黑" w:cs="微软雅黑"/>
                <w:color w:val="333333"/>
                <w:sz w:val="24"/>
                <w:szCs w:val="24"/>
                <w:shd w:val="clear" w:fill="FFFFFF"/>
              </w:rPr>
              <w:t>Φ</w:t>
            </w:r>
            <w:r>
              <w:rPr>
                <w:rFonts w:hint="eastAsia" w:ascii="宋体" w:hAnsi="宋体" w:eastAsia="宋体" w:cs="宋体"/>
                <w:sz w:val="24"/>
                <w:szCs w:val="24"/>
              </w:rPr>
              <w:t>12（mm）</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7、整机采用卧式结构，外形低矮，以防止分组实验时对邻近仪器的影响，汞灯光源和光电管中心高度117.5mm</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8、滤光片组和光阑组置于可水平滑动的导轨上</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9、汞灯组件内含有冷却散热系统，避免汞灯过热烫伤学生；</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10、2种普朗克常数测定方法：零电流法,补偿法、拐点法；</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11、设有机械接口装置和电子接口电路，可增加功能模块，增开太阳能电池（硅光电池）基本特性测量、光电二极管基本特性测量和光敏电阻基本特性测量等实验；</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12、测量误差：≤3%；</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13、使用彩色液晶显示数据和曲线，无需示波器和电脑；</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14、实时测量并显示曲线，实时记录实验数据；</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15、可存储曲线并导出U盘中</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台</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1-47</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夫兰克-赫兹实验</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1.夫兰克-赫兹管： 充氩（无需加热），4级结构，寿命≥3000h；</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2.微电流测量：测量范围10-6～10-9 A （4档），三位半数字显示；</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3.最小读数：电压≤0.1V，微电流10-10A；4.工作电压：灯丝电压(UH ):  DC　3～6.2 V±1%一栅电压(UG1K): DC　0～5 V       ±1%；二栅电压(UG2K): DC0～120V ±1%；拒斥电压(UG2A):DC　0～15 V±1%；数显工作电压UD：  DC　5V  ±1%；锯齿波参数：   锯齿波扫描幅度≥60 VPP；锯齿波扫描频率： 200 ±2%  Hz；观察谱峰数： 观测谱峰数≥8，观测谱谷数≥6；</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4、二栅电压调节采用旋转式数字编码电位器：无限位，无机械磨损，可快速调节到任意值；</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5、实验面板图示实验原理及电路布局；</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6、显示/测量方式：彩色液晶屏显示，无需示波器或计算机；、7数据采样率：20Hz；8彩色液晶屏： 4.3寸；</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9实时测量并显示曲线，实时测量并记录各实验数据；</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10数据存储：可存储10条曲线，并可将数据导出到U盘中；</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11可调阅存储的历史曲线及数据；</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12可由系统自动检峰，也可由操作者手动检峰；</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台</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1-48</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密立根油滴实验</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1、平均相对误差：&lt;2%</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2、平行极板间距：5.00mm±0.01mm</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3、极板电压： DC 0～680V可调，分正、零、负三档，极性可切换</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4、平衡电压： DC 0～350V可调</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5、提升电压：自动匹配，为平衡电压的140％-160％</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6、操作按键：轻触式长寿命开关，寿命大于100万次</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7、同屏显示数字电压表：0～999V  1V</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8、同屏显示数字计时器：0～99.99秒  0.01秒</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9、同屏显示电子格线分度值：电子方式产生，总高度2mm(平行极板间距：5.00mm) , 两种刻度规格可切换，分别用于密立根和布朗运动实验：</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        A板：0.25mm/格，</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        B板：0.04mm/格</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10、电视显微镜：放大倍数60×（标准物镜，焦距40mm，线视场5mm）或120×（需选配高倍物镜，用于布朗运动实验），与高级面阵CCD一体化设 计</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11、CCD:高级面阵CCD，灵敏度：0.01Lx，分辨率：600电视线，576×768象素</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12、计时器工作方式：与平衡电压开关联动，也可不联动，满足动态法与静态法的测量需要</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13、实验内容：       </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   1）密立根油滴实验；</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   2）留有物镜扩展接口</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   3）留有汞灯扩展接口</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14、实验数据处理软件：可根据学生的学号/姓名生成实验数据报告，自动解算，支持动态法和静态法，可打印、保存、调阅</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15、显示方式：电压值、计时值、油滴象同屏显示，可任意送往监视器、电视机、微机、投影仪等多种终端；学生操作直观，教师对实验情况一目了然，也方便教学或操作示范油滴稳定时间：大于1小时；</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16、连续跟踪带电油滴时间：大于2小时；</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17、油滴像：采用超高亮度LED照明灯，油滴像特别清晰明亮；</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18、监视器：15寸彩色液晶监视器</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台</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1-49</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逸出功测定仪</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金属逸出功综合测定仪本仪器由理想二极管、稳压源、数字显示部分及微电流测试部分组成，具有外型美观、设 计合理等优点。</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一、主要实验内容：</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1、了解费米—狄拉克量子统计规律。</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2、了解热电子发射的基本规律和掌握电子逸出功的测量方法。</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3、用理查孙直线法测定金属钨电子的逸出功 &lt; 或逸出电位 &gt;。</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4、研究二管的伏安特性。</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5、用磁控条件测量电子荷质比。</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6、学习避开某些不易测常数而直接得到结果的实验方法。</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二、主要技术参数：</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1、理想二极管灯丝：纯钨丝，灯丝电流 0.50 ～ 0.80A 三位半数字显示，连续可调，分辨率 1mA；数控编码开关调节；带断电保护功能，开机归零；</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2、阳极电压：DC0 ～ 199.9V，连续可调，精度：≤0.1V，三位半数字显示；数控编码开关调节；带断电保护功能，开机归零；</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3、阳极电流测量表 0 ～ 1.999mA，分辨率≤ 1μA，三位半数字显示；</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4、数据采集：三位半数字表分别显示灯丝电流、阳电压、阳电流、磁控电流，无需另接测量仪表，数据稳定精确；</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5、磁控电流：DC0 ～ 0.800A，连续可调，精度：≤1mA，三位半数字显示；数控编码开关调节；带断电保护功能，开机归零；</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6、电源主机尺寸：≤330mm（W）×300mm（D）145（H）mm；</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7、金属电子逸出功测定仪包括：电源主机、金属电子逸出功测试台（包含理想二管）、理想二管磁控线圈、实验连接线。</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台</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1-50</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150" w:afterAutospacing="0"/>
              <w:ind w:left="0" w:right="0"/>
              <w:jc w:val="center"/>
            </w:pPr>
            <w:r>
              <w:rPr>
                <w:rFonts w:hint="eastAsia" w:ascii="宋体" w:hAnsi="宋体" w:eastAsia="宋体" w:cs="宋体"/>
                <w:sz w:val="24"/>
                <w:szCs w:val="24"/>
              </w:rPr>
              <w:t>◆声光效应试验仪（核心产品）</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1.半导体激光器及电源：激光器置于二维调节架上，其输出中心波长为650nm，光斑大小可调，激光输出端固定0.8mm孔径光阑；激光电源为可调直流源，电流调节范围为0~16mA。</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2.声光器件：采用声光性能好的声光晶体---氧化碲（TeO2）和压电晶体---铌酸锂（LiNbO3）高真空铟压焊接而成；工作波长650 nm；中心频率100 MHz，3 dB带宽50 MHz；有效孔径1 mm；衍射效率＞85%，驱动功率≤1 W。声光器件置于精密转角平台上，其调节精度＜0.5 mrad/转，用于精细地调节光源的对晶体的相对入射角。</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3.功率信号源：为声光器件提供一定范围的频率和功率信号，并自带频率和功率显示功能。在“等幅”条件下输出的信号频率范围为60~130 MHz，分辨率为0.1 MHz；输出功率0~1000 mW可调，分辨率1mW。在“调幅”位置，输出一个TTL电平的数字信号，就可以对声功率进行幅度调制，频率范围0~20KHz。</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4.准直屏：用于实验前激光俯仰等维度的调节。</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5.线阵CCD光电转换器：采用线阵CCD线阵光电传感器，有效光敏单元为2048个，空间分辨率≤14um。</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6.仪器设 计了软件系统，通过计算机直接设置工作参数，并显示CCD输出情况，软件主要功能如下：（提供软件操作视频）</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（1）软件可设置起止时间、起止象素、驱动周期、曝光时间，设置启停按键和背景处理，显示驱动波形、输出电压波形、二值化图像波形等。</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（2）包含保存图像、帮助，状态栏中含有有效象素、时间、电压值及纵坐标等数据信息。</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7.导轨：燕尾结构，长≥1000mm。</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1）≥120MHz带宽，≥2路模拟通道，实时采样率：≥1 GSa/s</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2）存储深度：≥24 Mpts，所有波形点可以用excel格式导出在电脑打开分析；实时采集波形捕获率：≥30,000wfms/s，可以从后端触发接口测试出该刷新率；支持硬件实时的波形录制、回放功能，最多录制可达60000帧，并且可以以其中一个波形为模板对所有波形做对比分析，分析结果以冷热色调显示出来</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3）低底噪，垂直档位：1mV/div～10V/div；垂直分辨率：最高8bit；垂直单位支持W、A、V和U，垂直通道标签可编辑；时基精度：≤ ±25 ppm；水平时基：2 ns/div 至50 s/div；时基模式：Y-T、X-Y（可同时观测Y-T波形）、Roll、延迟扫描、慢扫描</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4）多种触发功能边沿触发、脉宽触发、斜率触发、视频触发、码型触发、持续时间、RS232、I2C、SPI、欠幅触发、超幅触发、第N边沿、延迟触发、超时触发；标配并行解码，可升级至RS232解码、I2C解码、SPI解码</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5）37种带统计的自动测量功能，测量区域可选屏幕或光标，测量信源可选CH1-CH4或MATH，提供专用测量键，方便测量；5组统计测量，可以统计测量结果最大值，最小值，平均值和标准差，测量次数，测量结果字号可设（标准/大/特大）；数学运算：支持A+B、A-B、A×B、A÷B、FFT、A&amp;&amp;B、A||B、A^B、!A、intg、diff、sqrt、lg、ln、exp、abs、Filter</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6）数字滤波：低通、高通、带通、带阻；AUTO可自动激活通道，AUTO参数可设；显示屏：7英寸高清WVGA（800×480）TFT宽屏，12x8div，多级波形灰度显示</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7）接口：USB Host，USB Device(USBTMC)，，AUX(Pass/Fail，Trigout)，USB-GPIB（可选）。LAN接口符合LXI协议，并提供证明</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台</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1-51</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冉绍尔－汤森效应实验仪</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一、技术指标</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1．电源组</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灯丝电压：1.25V－5.00V （连续可调）,分辨率：≤0.01V</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加速电压：-3.00V－15.00V（连续可调）, 分辨率：≤0.01V</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 补偿电压：0.00V－5.00V（连续可调）, 分辨率：≤0.01V</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2．微电流计</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     微电流IP测量，三档切换：量程：2uA档，分辨率：0.001uA</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量程：20uA档，分辨率：0.01uA</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量程：200uA档，分辨率：0.1uA</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微电流IS测量，四档切换：量程：20uA档，分辨率：0.01uA</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量程：200uA档，分辨率：0.1uA</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量程：2mA档，分辨率：0.001mA</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量程：20mA档，分辨率：0.01mA</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3．电子碰撞管：充氙气（Xe），热阴极：PIN H，加速极：PIN K，栅极：PIN S，板极：PIN P；管径大于25mm，八脚直插连接，管长约65mm；</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4．交流示波器观测：加速电压有效值（连续可调），0V－10V</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5. 低温容器：容积大于400毫升，电子碰撞管可深入高度不小于60mm ，盛接液氮</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6. 电子碰撞管支架：上下移动高度20cm,管伸距离100mm，金属屏蔽外壳，六脚引线连接</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7. 示波器：</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1）≥120MHz带宽，≥2路模拟通道，实时采样率：≥1 GSa/s</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2）存储深度：≥24 Mpts，所有波形点可以用excel格式导出在电脑打开分析；实时采集波形捕获率：≥30,000wfms/s，可以从后端触发接口测试出该刷新率；支持硬件实时的波形录制、回放功能，最多录制可达60000帧，并且可以以其中一个波形为模板对所有波形做对比分析，分析结果以冷热色调显示出来</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3）低底噪，垂直档位：1mV/div～10V/div；垂直分辨率：最高8bit；垂直单位支持W、A、V和U，垂直通道标签可编辑；时基精度：≤ ±25 ppm；水平时基：2 ns/div 至50 s/div；时基模式：Y-T、X-Y（可同时观测Y-T波形）、Roll、延迟扫描、慢扫描</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4）多种触发功能边沿触发、脉宽触发、斜率触发、视频触发、码型触发、持续时间、RS232、I2C、SPI、欠幅触发、超幅触发、第N边沿、延迟触发、超时触发；标配并行解码，可升级至RS232解码、I2C解码、SPI解码</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5）37种带统计的自动测量功能，测量区域可选屏幕或光标，测量信源可选CH1-CH4或MATH，提供专用测量键，方便测量；5组统计测量，可以统计测量结果最大值，最小值，平均值和标准差，测量次数，测量结果字号可设（标准/大/特大）；数学运算：支持A+B、A-B、A×B、A÷B、FFT、A&amp;&amp;B、A||B、A^B、!A、intg、diff、sqrt、lg、ln、exp、abs、Filter</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6）数字滤波：低通、高通、带通、带阻；AUTO可自动激活通道，AUTO参数可设；显示屏：7英寸高清WVGA（800×480）TFT宽屏，12x8div，多级波形灰度显示</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7）接口：USB Host，USB Device(USBTMC)，，AUX(Pass/Fail，Trigout)，USB-GPIB（可选）。LAN接口符合LXI协议，并提供证明</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二、实验项目</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1．了解电子碰撞管的设 计原则，掌握电子与原子的碰撞规则和测量的原子散射截面的方法。</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2．测量低能电子与气体原子碰撞的散射几率Ps与电子速度的关系。</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3．测量气体原子的有效弹性散射截面Q与电子速度的关系，测定散射截面最小时的电子能量。</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台</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1-52</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核磁共振仪</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1.测量原子核氢核和氟核</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2.信噪比：≥46dB（H）（需提供视频资料进行佐证，投标时提供视频资料以U盘或者光盘的形式随投标文件一同提交。）</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3.振荡频率范围：17MHz－23MHz，连续可调</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4.磁铁磁极直径：100mm，间隙20mm</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5.信号幅度：H&gt;5V,F&gt;300mV（需提供视频资料进行佐证，投标时提供视频资料以U盘或者光盘的形式随投标文件一同提交。）</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6.磁铁均匀度：小于8ppm（需提供视频资料进行佐证，投标时提供视频资料以U盘或者光盘的形式随投标文件一同提交。）</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7.磁场调节调节范围160Gs(调场线圈)</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8.尾波个数：≥15个（需提供视频资料进行佐证，投标时提供视频资料以U盘或者光盘的形式随投标文件一同提交。）</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9. 测量样品：氢核—1#溶有硫酸铜，2#溶有三氯化铁，4#丙三醇，5#纯水，6#溶有硫酸锰氟核—3# 氢氟酸（需提供视频资料进行佐证，投标时提供视频资料以U盘或者光盘的形式随投标文件一同提交。）</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10.配示波器：支持两个模拟通道，一个外触发输入通道，带宽≥100MHz；最大采样率≥1GSa/s，等效采样率≥25GSa/s；</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11.显示 8位七段LED数字显示</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12.频率范围：10Hz-10MHz直接计数、100MHz-2.7GHz</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13.固定基准信号输出：13MHz</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14.分辨率：1Hz、10Hz、100Hz、1KHz、10KHz</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15.闸门时间：0.01s、0.1s、1s</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16.精准度：±1%计数值±基准时间误差×被测频率</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台</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1-53</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黑体实验装置</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主要实验内容：</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1、了解黑体辐射实验规律；</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2、测量同温度下不同介质面热辐射量，包括黑面、白面、光滑面、粗糙面；</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3、测量热辐射同介质情况下与温度的关系；</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4、验证辐射与距离平方成反比定律；</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5、验证斯特藩 - 波尔兹曼定律 :E(T) ∝ A6T4；</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6、验证维思定律：TλM=b。</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主要技术指标：</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1、光具座：长度 ≥80.0cm，分度值：≤1mm（可为用户特制尺寸）。</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2、加热块：≥7cm×7cm×7cm，包括包括黑、白、光滑、粗糙 4 个辐射面。</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3、温控器控制范围：273K ～ 393K(0 ～ 120℃ ), 精度 0.1℃；</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4、发光（热）卤素灯：最高 3000K, 包括几乎可见光的波长，功率 25W；</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5、红外热成像探测辐射传感器：分辨率 ≤0.1℃。</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台</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1-54</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全息照相实验仪</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一、技术指标</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1．激光功率计：四档选择   2uW,20uW,200uW,2mW；表头显示：3位半数字电压表；探测器：硅光电池</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2．曝光定时器分辨率：≤1s；量程：1－9999s(手动设置)</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3．电子快门通光孔直径：3mm</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4．半导体激光器功率5mW左右工作电压3V 波长635nm光斑直径2mm</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5．减振平台尺寸：≥600×400×100mm；固定螺孔：M6；螺孔位置：25×25mm</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6．扩束镜入射孔直径：≥6.2mm；出射孔直径：≥1.5mm</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7．光电探测器光阑孔直径：1mm,1.5mm,2mm,2.5mm,3mm,3.5mm,4mm,4.5mm,5mm,6mm十种探测器硅光电池</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8．白色光屏外型尺寸：≥120mm×80mm；通光孔直径：≥2mm</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9.全息干板红敏聚合物干板，只对红光敏感</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二、实验项目</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1．了解全息照相的基本原理，熟悉制作全息图的基本条件。</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2．学习全息照相的实验技术，了解全息照相的基本特性，拍摄合格的全息图。</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3．掌握全息照相的记录和再现技术。</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台</w:t>
            </w:r>
          </w:p>
        </w:tc>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10</w:t>
            </w:r>
          </w:p>
        </w:tc>
      </w:tr>
    </w:tbl>
    <w:p>
      <w:pPr>
        <w:pStyle w:val="7"/>
        <w:keepNext w:val="0"/>
        <w:keepLines w:val="0"/>
        <w:widowControl/>
        <w:suppressLineNumbers w:val="0"/>
        <w:spacing w:before="0" w:beforeAutospacing="0" w:after="150" w:afterAutospacing="0"/>
        <w:ind w:left="0" w:right="0"/>
      </w:pP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三、商务条件</w:t>
      </w:r>
      <w:r>
        <w:rPr>
          <w:rStyle w:val="10"/>
          <w:rFonts w:hint="eastAsia" w:ascii="宋体" w:hAnsi="宋体" w:eastAsia="宋体" w:cs="宋体"/>
          <w:b/>
          <w:bCs/>
          <w:spacing w:val="0"/>
          <w:sz w:val="24"/>
          <w:szCs w:val="24"/>
        </w:rPr>
        <w:t>（以“★”标示的内容为不允许负偏离的实质性要求）</w:t>
      </w:r>
    </w:p>
    <w:p>
      <w:pPr>
        <w:pStyle w:val="7"/>
        <w:keepNext w:val="0"/>
        <w:keepLines w:val="0"/>
        <w:widowControl/>
        <w:suppressLineNumbers w:val="0"/>
        <w:spacing w:before="75" w:beforeAutospacing="0" w:after="75" w:afterAutospacing="0"/>
        <w:ind w:left="0" w:right="0" w:firstLine="0"/>
      </w:pPr>
      <w:r>
        <w:rPr>
          <w:rStyle w:val="10"/>
          <w:rFonts w:hint="eastAsia" w:ascii="宋体" w:hAnsi="宋体" w:eastAsia="宋体" w:cs="宋体"/>
          <w:b/>
          <w:bCs/>
          <w:spacing w:val="0"/>
          <w:sz w:val="24"/>
          <w:szCs w:val="24"/>
        </w:rPr>
        <w:t>包：1</w:t>
      </w:r>
      <w:r>
        <w:rPr>
          <w:rStyle w:val="10"/>
          <w:rFonts w:hint="eastAsia" w:ascii="宋体" w:hAnsi="宋体" w:eastAsia="宋体" w:cs="宋体"/>
          <w:b/>
          <w:bCs/>
          <w:spacing w:val="0"/>
          <w:sz w:val="24"/>
          <w:szCs w:val="24"/>
        </w:rPr>
        <w:br w:type="textWrapping"/>
      </w:r>
      <w:r>
        <w:rPr>
          <w:rStyle w:val="10"/>
          <w:rFonts w:hint="eastAsia" w:ascii="宋体" w:hAnsi="宋体" w:eastAsia="宋体" w:cs="宋体"/>
          <w:b/>
          <w:bCs/>
          <w:spacing w:val="0"/>
          <w:sz w:val="24"/>
          <w:szCs w:val="24"/>
        </w:rPr>
        <w:t>1、交付地点：福建省泉州市丰泽区东海大街398号</w:t>
      </w:r>
      <w:r>
        <w:rPr>
          <w:rStyle w:val="10"/>
          <w:rFonts w:hint="eastAsia" w:ascii="宋体" w:hAnsi="宋体" w:eastAsia="宋体" w:cs="宋体"/>
          <w:b/>
          <w:bCs/>
          <w:spacing w:val="0"/>
          <w:sz w:val="24"/>
          <w:szCs w:val="24"/>
        </w:rPr>
        <w:br w:type="textWrapping"/>
      </w:r>
      <w:r>
        <w:rPr>
          <w:rStyle w:val="10"/>
          <w:rFonts w:hint="eastAsia" w:ascii="宋体" w:hAnsi="宋体" w:eastAsia="宋体" w:cs="宋体"/>
          <w:b/>
          <w:bCs/>
          <w:spacing w:val="0"/>
          <w:sz w:val="24"/>
          <w:szCs w:val="24"/>
        </w:rPr>
        <w:t>2、交付时间：签订合同45个工作日内完成安装及调试</w:t>
      </w:r>
      <w:r>
        <w:rPr>
          <w:rStyle w:val="10"/>
          <w:rFonts w:hint="eastAsia" w:ascii="宋体" w:hAnsi="宋体" w:eastAsia="宋体" w:cs="宋体"/>
          <w:b/>
          <w:bCs/>
          <w:spacing w:val="0"/>
          <w:sz w:val="24"/>
          <w:szCs w:val="24"/>
        </w:rPr>
        <w:br w:type="textWrapping"/>
      </w:r>
      <w:r>
        <w:rPr>
          <w:rStyle w:val="10"/>
          <w:rFonts w:hint="eastAsia" w:ascii="宋体" w:hAnsi="宋体" w:eastAsia="宋体" w:cs="宋体"/>
          <w:b/>
          <w:bCs/>
          <w:spacing w:val="0"/>
          <w:sz w:val="24"/>
          <w:szCs w:val="24"/>
        </w:rPr>
        <w:t>3、交付条件：按合同规定最终验收合格后交付使用</w:t>
      </w:r>
      <w:r>
        <w:rPr>
          <w:rStyle w:val="10"/>
          <w:rFonts w:hint="eastAsia" w:ascii="宋体" w:hAnsi="宋体" w:eastAsia="宋体" w:cs="宋体"/>
          <w:b/>
          <w:bCs/>
          <w:spacing w:val="0"/>
          <w:sz w:val="24"/>
          <w:szCs w:val="24"/>
        </w:rPr>
        <w:br w:type="textWrapping"/>
      </w:r>
      <w:r>
        <w:rPr>
          <w:rStyle w:val="10"/>
          <w:rFonts w:hint="eastAsia" w:ascii="宋体" w:hAnsi="宋体" w:eastAsia="宋体" w:cs="宋体"/>
          <w:b/>
          <w:bCs/>
          <w:spacing w:val="0"/>
          <w:sz w:val="24"/>
          <w:szCs w:val="24"/>
        </w:rPr>
        <w:t>4、是否收取履约保证金： 是。履约保证金百分比：2%。说明：中标人在签订合同前向采购人缴纳合同金额约2%的履约保证金，该保证金在成交供应商供应的货物全部验收合格、合同约定事项全部履行完毕且无未了事项后，30日内一次性无息退还。履约保证金以支票、汇票、本票或者金融机构、担保机构出具的保函等非现金形式向采购人缴交。</w:t>
      </w:r>
      <w:r>
        <w:rPr>
          <w:rStyle w:val="10"/>
          <w:rFonts w:hint="eastAsia" w:ascii="宋体" w:hAnsi="宋体" w:eastAsia="宋体" w:cs="宋体"/>
          <w:b/>
          <w:bCs/>
          <w:spacing w:val="0"/>
          <w:sz w:val="24"/>
          <w:szCs w:val="24"/>
        </w:rPr>
        <w:br w:type="textWrapping"/>
      </w:r>
      <w:r>
        <w:rPr>
          <w:rStyle w:val="10"/>
          <w:rFonts w:hint="eastAsia" w:ascii="宋体" w:hAnsi="宋体" w:eastAsia="宋体" w:cs="宋体"/>
          <w:b/>
          <w:bCs/>
          <w:spacing w:val="0"/>
          <w:sz w:val="24"/>
          <w:szCs w:val="24"/>
        </w:rPr>
        <w:t>5、是否邀请投标人参与验收：否</w:t>
      </w:r>
      <w:r>
        <w:rPr>
          <w:rStyle w:val="10"/>
          <w:rFonts w:hint="eastAsia" w:ascii="宋体" w:hAnsi="宋体" w:eastAsia="宋体" w:cs="宋体"/>
          <w:b/>
          <w:bCs/>
          <w:spacing w:val="0"/>
          <w:sz w:val="24"/>
          <w:szCs w:val="24"/>
        </w:rPr>
        <w:br w:type="textWrapping"/>
      </w:r>
      <w:r>
        <w:rPr>
          <w:rStyle w:val="10"/>
          <w:rFonts w:hint="eastAsia" w:ascii="宋体" w:hAnsi="宋体" w:eastAsia="宋体" w:cs="宋体"/>
          <w:b/>
          <w:bCs/>
          <w:spacing w:val="0"/>
          <w:sz w:val="24"/>
          <w:szCs w:val="24"/>
        </w:rPr>
        <w:t>6、验收方式数据表格</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64"/>
        <w:gridCol w:w="66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1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验收期次</w:t>
            </w:r>
          </w:p>
        </w:tc>
        <w:tc>
          <w:tcPr>
            <w:tcW w:w="4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（一）项目具备验收条件后，中标人应向采购人提出验收请求并提供完整的项目交接资料及交接报告。 （二）采购人收到验收请求后组织验收，并出具验收报告。报告中将对中标人交付的工作成果给予认可或提出修改意见。中标人应按修改意见进行修改，并应承担一切费用和风险并负担采购人蒙受的全部直接损失费用。同时，中标人应相应延长所更换货物的相应保证期。 （三）中标人在接到采购人的修改意见后，应在10天内（当事人另行商定的时间除外）负责处理，否则，即视为默认采购人提出的异议和处理意见。 （四）验收标准：招标文件和合同规定的技术要求、规格质量及其它要求，生产厂家的产品说明书、合格证书及技术资料等；国家现行规范；当地监督管理部门要求的安全规范以及采购文件的规定。 （五）验收小组：需3人以上（含3人）单数。 （六）验收程序：货物验收分出厂检验、货到初步验收、安装调试验收三阶段： （1）出厂检验：中标人将提供设备、安装材料、工具、软件包和文件的发货清单和计划，发货计划应经采购人认可后实施。中标人负责所提供产品的出厂检验，保证产品原产地和技术指标的真实性、完整性、合法性；中标人发货前应将清单及发货流程发送给采购人，经采购人确认同意后发货；中标人需在采购人指定地点进行统一交货，并向采购人提供货物制造厂的出厂检验报告、质量合格证书。 （2）初步验收：货物到达交货地点后30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中标人需在收到换货通知日起30个工作日内交付合格的新品，逾期未处理的，将予以退货，由此产生的费用和采购人的损失，由中标人承担；选择退货处理的，中标人需在收到退货通知之日起10个工作日内将货物自行运回，如逾期中标人未退回货物，采购人有权将货物退回中标人法定地址，由此产生的一切费用由中标人承担。 （3）最终验收：由中标人按照合同约定的具体数量、地点及时间运送到安装现场进行安装，在安装、调试与试运行无问题之后30个工作日内完成最终验收（因中标人原因导致无法验收的情况除外），采购人对设备使用与运行、功能完整性与稳定性、质量与标准等方面进行最终验收，验收合格后，签发验收单；验收不合格，采购人有权选择通知整改或退换货处理：①选择通知整改处理的，中标人需在收到整改通知日起30个工作日内完成整改，逾期未处理，将按退货处理，由此产生的费用和采购人的损失，由中标人承担；②选择换货处理的，中标人需在收到换货通知日起30个工作日内交付合格的新品，逾期未处理，将按退货处理，由此产生的费用和采购人的损失，由中标人承担；③选择退货处理的，中标人需在收到退货通知之日起10个工作日内将货物自行运回，如逾期中标人未退回货物，采购人有权将货物退回中标人法定地址，由此产生的一切费用由中标人承担。</w:t>
            </w:r>
          </w:p>
        </w:tc>
      </w:tr>
    </w:tbl>
    <w:p>
      <w:pPr>
        <w:keepNext w:val="0"/>
        <w:keepLines w:val="0"/>
        <w:widowControl/>
        <w:suppressLineNumbers w:val="0"/>
        <w:jc w:val="left"/>
      </w:pPr>
      <w:r>
        <w:rPr>
          <w:rStyle w:val="10"/>
          <w:rFonts w:ascii="宋体" w:hAnsi="宋体" w:eastAsia="宋体" w:cs="宋体"/>
          <w:b/>
          <w:bCs/>
          <w:kern w:val="0"/>
          <w:sz w:val="24"/>
          <w:szCs w:val="24"/>
          <w:lang w:val="en-US" w:eastAsia="zh-CN" w:bidi="ar"/>
        </w:rPr>
        <w:t>7、支付方式数据表格</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64"/>
        <w:gridCol w:w="1664"/>
        <w:gridCol w:w="49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1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支付期次</w:t>
            </w:r>
          </w:p>
        </w:tc>
        <w:tc>
          <w:tcPr>
            <w:tcW w:w="1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支付比例(%)</w:t>
            </w:r>
          </w:p>
        </w:tc>
        <w:tc>
          <w:tcPr>
            <w:tcW w:w="3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（一）所有货款均由泉州师范学院支付； （二）支付货款时应提供的资料：《泉州师范学院采购申请表》、成交通知书、采购验收单及合同的原件，正式的完税税务发票复印件（均应加盖财务专用章）和政府采购计划表（政府采购系统上打印）。 （三）付款：在合同签订后，中标人提交银行出具的预付款保函或启用采购人指定银行的三方共管账户后，采购人支付合同总价100%的预付款。预付款保函的有效期需在采购项目验收合格日期之后；启用我校指定银行的三方共管账户，采购项目经验收合格后，中标认方可从三方共管账户支取款项。 （四）中标人、收款单位、购货票证开票单位三者应一致，中标人收款帐号应为中国人民银行批准的基本帐户。</w:t>
            </w:r>
          </w:p>
        </w:tc>
      </w:tr>
    </w:tbl>
    <w:p>
      <w:pPr>
        <w:pStyle w:val="7"/>
        <w:keepNext w:val="0"/>
        <w:keepLines w:val="0"/>
        <w:widowControl/>
        <w:suppressLineNumbers w:val="0"/>
        <w:spacing w:before="0" w:beforeAutospacing="0" w:after="150" w:afterAutospacing="0" w:line="293" w:lineRule="atLeast"/>
        <w:ind w:left="0" w:right="0"/>
      </w:pPr>
      <w:r>
        <w:rPr>
          <w:rStyle w:val="10"/>
          <w:rFonts w:hint="eastAsia" w:ascii="宋体" w:hAnsi="宋体" w:eastAsia="宋体" w:cs="宋体"/>
          <w:b/>
          <w:bCs/>
        </w:rPr>
        <w:t>8、包装、技术资料要求：</w:t>
      </w:r>
    </w:p>
    <w:p>
      <w:pPr>
        <w:pStyle w:val="7"/>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rPr>
        <w:t>8.1包装要求：标志、包装、运输：</w:t>
      </w:r>
    </w:p>
    <w:p>
      <w:pPr>
        <w:pStyle w:val="7"/>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rPr>
        <w:t>①标志：产品表层有明显的型号规格等标志，该标志在寿命期内应清晰、永久。</w:t>
      </w:r>
    </w:p>
    <w:p>
      <w:pPr>
        <w:pStyle w:val="7"/>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rPr>
        <w:t>②包装：产品的包装应保证在运输、储藏和安装期间的安全及性能不受损害。包装盒/箱内应附有产品合格证、出厂日期、产品说明书、附件及附件清单等。</w:t>
      </w:r>
    </w:p>
    <w:p>
      <w:pPr>
        <w:pStyle w:val="7"/>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rPr>
        <w:t>③运输：产品在运输过程中应避免雨雪的直接淋袭或烈日的暴晒。</w:t>
      </w:r>
    </w:p>
    <w:p>
      <w:pPr>
        <w:pStyle w:val="7"/>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rPr>
        <w:t>8.2技术资料要求：（1）包装和装箱的详细情况说明；（2）投标人应向采购人提供完整的技术资料1套（包括技术说明书、使用说明书、维修手册、安装维修手册、操作手册、常用易消耗品单价等）。</w:t>
      </w:r>
    </w:p>
    <w:p>
      <w:pPr>
        <w:pStyle w:val="7"/>
        <w:keepNext w:val="0"/>
        <w:keepLines w:val="0"/>
        <w:widowControl/>
        <w:suppressLineNumbers w:val="0"/>
        <w:spacing w:before="0" w:beforeAutospacing="0" w:after="150" w:afterAutospacing="0" w:line="293" w:lineRule="atLeast"/>
        <w:ind w:left="0" w:right="0"/>
      </w:pPr>
      <w:r>
        <w:rPr>
          <w:rStyle w:val="10"/>
          <w:rFonts w:hint="eastAsia" w:ascii="宋体" w:hAnsi="宋体" w:eastAsia="宋体" w:cs="宋体"/>
          <w:b/>
          <w:bCs/>
        </w:rPr>
        <w:t>9、售 后服务要求</w:t>
      </w:r>
    </w:p>
    <w:p>
      <w:pPr>
        <w:pStyle w:val="7"/>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rPr>
        <w:t>9.1投标人对提供的货物或服务，因产品及服务质量、或知识产权纠纷等问题，必须提供保修、包换、包退等服务。</w:t>
      </w:r>
    </w:p>
    <w:p>
      <w:pPr>
        <w:pStyle w:val="7"/>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rPr>
        <w:t>9.2货物安装调试合格后，投标人负责对采购人技术人员进行免费现场培训，培训内容包括系统的功能、原理、使用与维护等，培训日程视实际情况另定。</w:t>
      </w:r>
    </w:p>
    <w:p>
      <w:pPr>
        <w:pStyle w:val="7"/>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rPr>
        <w:t>9.3质保期：投标人所供货物质保期自最终验收合格之日起开始计算，投标人需保证免费质保期至少为（36）个月。投标人在接到用户设备故障电话通知起，由于故障而无法工作超过3天，质保期自动延长相应天数（延长天数从故障电话通知之日开始计算）。</w:t>
      </w:r>
    </w:p>
    <w:p>
      <w:pPr>
        <w:pStyle w:val="7"/>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rPr>
        <w:t>9.4质保期内货物一旦出现故障，投标人响应时间不超过4小时，检修人员在2个工作日内到设备安装地点及时排除故障，技术人员在12小时内完成系统恢复正常使用；如果无法恢复的，投标人应负责联系厂家技术人员到现场排除故障，厂方人员接到报修后，响应时间不超过24小时；技术人员在72小时内不能排除故障时，投标人应提供与该系统规格、技术指标相一致的备品，并在到现场完成系统更换及指导工作，以保证实验教学正常运行。</w:t>
      </w:r>
    </w:p>
    <w:p>
      <w:pPr>
        <w:pStyle w:val="7"/>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rPr>
        <w:t>9.5质保期结束后，投标人需提供终身应用咨询、技术帮助及维护；货物一旦出现故障，投标人需协助采购人对货物进行维修，远程不能解决的，投标人需派出技术人员2个工作日内到现场进行维修，只收取人员差旅费，对设备故障需要更换的配件以成本价提供。</w:t>
      </w:r>
    </w:p>
    <w:p>
      <w:pPr>
        <w:pStyle w:val="7"/>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rPr>
        <w:t>9.6履行所承诺的其他服务条款。</w:t>
      </w:r>
    </w:p>
    <w:p>
      <w:pPr>
        <w:pStyle w:val="7"/>
        <w:keepNext w:val="0"/>
        <w:keepLines w:val="0"/>
        <w:widowControl/>
        <w:suppressLineNumbers w:val="0"/>
        <w:spacing w:before="0" w:beforeAutospacing="0" w:after="150" w:afterAutospacing="0" w:line="293" w:lineRule="atLeast"/>
        <w:ind w:left="0" w:right="0"/>
      </w:pPr>
      <w:r>
        <w:rPr>
          <w:rStyle w:val="10"/>
          <w:rFonts w:hint="eastAsia" w:ascii="宋体" w:hAnsi="宋体" w:eastAsia="宋体" w:cs="宋体"/>
          <w:b/>
          <w:bCs/>
        </w:rPr>
        <w:t>10、违约责任</w:t>
      </w:r>
    </w:p>
    <w:p>
      <w:pPr>
        <w:pStyle w:val="7"/>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rPr>
        <w:t>10.1中标人违约责任：</w:t>
      </w:r>
    </w:p>
    <w:p>
      <w:pPr>
        <w:pStyle w:val="7"/>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rPr>
        <w:t>a.逾期交货：如果中标人未能按合同规定的时间按时交货（或提供服务）的（不可抗力除外），且未经采购人同意延长交货期的，中标人需向采购人支付延期交货违约金，延期交货违约金的支付采购人有权从未付的合同货款中扣除。每延误一日，中标人应按合同总金额3‰支付给采购人违约金；若中标人逾期交货达30天（含30天）以上的，采购人有权单方解除本合同，中标人仍应按上述约定支付延期交货（或提供服务）违约金。若因此给采购人造成损失的，还应赔偿采购人所受的损失。</w:t>
      </w:r>
    </w:p>
    <w:p>
      <w:pPr>
        <w:pStyle w:val="7"/>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rPr>
        <w:t>b.短、溢量：若中标人交付货物数量不符合要求的，采购人有权拒收、要求中标人补单并减免价款（短量情形适用）。因此产生的费用由中标人承担。</w:t>
      </w:r>
    </w:p>
    <w:p>
      <w:pPr>
        <w:pStyle w:val="7"/>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rPr>
        <w:t>c.质量问题：中标人产品质量与合同要求、招标文件不符（如货物有缺陷，包括但不限于潜在的缺陷或使用不合适的原材料或货物在正常运输和储存情况下发生磨损等现象）的，采购人有权拒收、要求中标人维修更换、减免价款或者要求退货等。因此产生的费用由中标人承担。</w:t>
      </w:r>
    </w:p>
    <w:p>
      <w:pPr>
        <w:pStyle w:val="7"/>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rPr>
        <w:t>d.其他：若根据本合同约定中标人产品不符合合同约定或有其他违约行为，采购人有权拒收货物并要求退货，中标人须承担采购人因此造成的损失。</w:t>
      </w:r>
    </w:p>
    <w:p>
      <w:pPr>
        <w:pStyle w:val="7"/>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rPr>
        <w:t>e.采购人依约采取拒收货物或者退、换货等措施的，中标人承担因此发生的一切损失费用，包括但不限于利息、银行费用、运输和保险费、检验费、仓储和装卸费以及为保管和保护被拒绝货物所需要的其它必要费用。</w:t>
      </w:r>
    </w:p>
    <w:p>
      <w:pPr>
        <w:pStyle w:val="7"/>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rPr>
        <w:t>f.如果采购人提出索赔通知后30日历日内中标人未能予以答复，该索赔应视为已被中标人接受。若中标人未能在采购人提出索赔通知的30日历日内或采购人同意的更长一些的时间内，按采购人同意的上述任何一种方式处理索赔事宜，采购人将从未付的合同价款中扣除索赔金额，同时按本合同条款规定解除合同并追究中标人的违约责任。</w:t>
      </w:r>
    </w:p>
    <w:p>
      <w:pPr>
        <w:pStyle w:val="7"/>
        <w:keepNext w:val="0"/>
        <w:keepLines w:val="0"/>
        <w:widowControl/>
        <w:suppressLineNumbers w:val="0"/>
        <w:spacing w:before="0" w:beforeAutospacing="0" w:after="150" w:afterAutospacing="0" w:line="293" w:lineRule="atLeast"/>
        <w:ind w:left="0" w:right="0"/>
      </w:pPr>
      <w:r>
        <w:rPr>
          <w:rStyle w:val="10"/>
          <w:rFonts w:hint="eastAsia" w:ascii="宋体" w:hAnsi="宋体" w:eastAsia="宋体" w:cs="宋体"/>
          <w:b/>
          <w:bCs/>
        </w:rPr>
        <w:t>11、其它要求</w:t>
      </w:r>
    </w:p>
    <w:p>
      <w:pPr>
        <w:pStyle w:val="7"/>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rPr>
        <w:t>11.1投标人必须对本次采购项目严格按照招标文件中提供的货物、规格、技术性能进行报价。投标人应充分理解供货期间各种因素导致成本价格上涨的风险，且该项风险费在报价中充分考虑。投标人投标报价为货物送达采购人指 定地点，经采购人验收合格并安装完毕所有可能发生的费用，包括但不限于投标产品材料、专用工具、加工、包装、运输、安装、保险费、拆运、检验检测、验收、税金、风险费以及售后 服务等一切费用。</w:t>
      </w:r>
    </w:p>
    <w:p>
      <w:pPr>
        <w:pStyle w:val="7"/>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rPr>
        <w:t>11.2本项目不允许中标人以任何名义和理由进行转包或分包，如有发现，采购人有权单方终止合同，且中标人必须赔偿由此给采购人带来的一切损失。中标人应保证采购人不受到第三方关于知识产权的指控，任何第三方如果提出指控，中标人应与第三方交涉，承担可能发生的一切法律责任、费用和后果，并赔偿采购人的损失。</w:t>
      </w:r>
    </w:p>
    <w:p>
      <w:pPr>
        <w:pStyle w:val="7"/>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rPr>
        <w:t>11.3投标人不得虚报各项技术指标，中标产品若不能符合技术要求，采购人有权解除合同，并向政府采购管理部门通报，因此给采购人造成的一切损失，由投标人承担。</w:t>
      </w:r>
    </w:p>
    <w:p>
      <w:pPr>
        <w:pStyle w:val="7"/>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rPr>
        <w:t>11.4培训：投标人应结合本次采购的货物，有计划地对采购人派出管理、维护及使用人员进行安装现场的基本知识、使用、维护与保养技术的培训。</w:t>
      </w:r>
    </w:p>
    <w:p>
      <w:pPr>
        <w:pStyle w:val="7"/>
        <w:keepNext w:val="0"/>
        <w:keepLines w:val="0"/>
        <w:widowControl/>
        <w:suppressLineNumbers w:val="0"/>
        <w:spacing w:before="0" w:beforeAutospacing="0" w:after="150" w:afterAutospacing="0" w:line="293" w:lineRule="atLeast"/>
        <w:ind w:left="0" w:right="0"/>
      </w:pPr>
      <w:r>
        <w:rPr>
          <w:rStyle w:val="10"/>
          <w:rFonts w:hint="eastAsia" w:ascii="宋体" w:hAnsi="宋体" w:eastAsia="宋体" w:cs="宋体"/>
          <w:b/>
          <w:bCs/>
        </w:rPr>
        <w:t>12、知识产权</w:t>
      </w:r>
    </w:p>
    <w:p>
      <w:pPr>
        <w:pStyle w:val="7"/>
        <w:keepNext w:val="0"/>
        <w:keepLines w:val="0"/>
        <w:widowControl/>
        <w:suppressLineNumbers w:val="0"/>
        <w:spacing w:before="0" w:beforeAutospacing="0" w:after="150" w:afterAutospacing="0" w:line="293" w:lineRule="atLeast"/>
        <w:ind w:left="0" w:right="0" w:firstLine="480"/>
      </w:pPr>
      <w:r>
        <w:rPr>
          <w:rFonts w:hint="eastAsia" w:ascii="宋体" w:hAnsi="宋体" w:eastAsia="宋体" w:cs="宋体"/>
          <w:sz w:val="24"/>
          <w:szCs w:val="24"/>
        </w:rPr>
        <w:t>中标人必须保证采购人在使用中标人所提供的产品时不受任何版权等方面的侵权困扰，如出现类似纠纷，中标人应对由此产生的后果负全部责任，并赔偿采购单位由此而造成的全部损失。</w:t>
      </w:r>
    </w:p>
    <w:p>
      <w:pPr>
        <w:pStyle w:val="7"/>
        <w:keepNext w:val="0"/>
        <w:keepLines w:val="0"/>
        <w:widowControl/>
        <w:suppressLineNumbers w:val="0"/>
        <w:spacing w:before="0" w:beforeAutospacing="0" w:after="150" w:afterAutospacing="0"/>
        <w:ind w:left="0" w:right="0"/>
      </w:pPr>
    </w:p>
    <w:p>
      <w:pPr>
        <w:keepNext w:val="0"/>
        <w:keepLines w:val="0"/>
        <w:widowControl/>
        <w:suppressLineNumbers w:val="0"/>
        <w:jc w:val="left"/>
      </w:pPr>
      <w:r>
        <w:rPr>
          <w:rFonts w:ascii="宋体" w:hAnsi="宋体" w:eastAsia="宋体" w:cs="宋体"/>
          <w:spacing w:val="0"/>
          <w:kern w:val="0"/>
          <w:sz w:val="24"/>
          <w:szCs w:val="24"/>
          <w:lang w:val="en-US" w:eastAsia="zh-CN" w:bidi="ar"/>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四、其他事项</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1、除招标文件另有规定外，若出现有关法律、法规和规章有强制性规定但招标文件未列明的情形，则投标人应按照有关法律、法规和规章强制性规定执行。</w:t>
      </w:r>
    </w:p>
    <w:p>
      <w:pPr>
        <w:pStyle w:val="7"/>
        <w:keepNext w:val="0"/>
        <w:keepLines w:val="0"/>
        <w:widowControl/>
        <w:suppressLineNumbers w:val="0"/>
        <w:spacing w:before="75" w:beforeAutospacing="0" w:after="75" w:afterAutospacing="0"/>
        <w:ind w:left="0" w:right="0" w:firstLine="0"/>
      </w:pPr>
      <w:r>
        <w:rPr>
          <w:spacing w:val="0"/>
          <w:sz w:val="24"/>
          <w:szCs w:val="24"/>
        </w:rPr>
        <w:t>2、其他：</w:t>
      </w:r>
    </w:p>
    <w:p>
      <w:pPr>
        <w:pStyle w:val="7"/>
        <w:keepNext w:val="0"/>
        <w:keepLines w:val="0"/>
        <w:widowControl/>
        <w:suppressLineNumbers w:val="0"/>
        <w:spacing w:before="0" w:beforeAutospacing="0" w:after="150" w:afterAutospacing="0" w:line="495" w:lineRule="atLeast"/>
        <w:ind w:left="0" w:right="0" w:firstLine="420"/>
      </w:pPr>
      <w:r>
        <w:rPr>
          <w:rFonts w:hint="eastAsia" w:ascii="宋体" w:hAnsi="宋体" w:eastAsia="宋体" w:cs="宋体"/>
          <w:sz w:val="24"/>
          <w:szCs w:val="24"/>
        </w:rPr>
        <w:t>2.1除非有特殊需要，招标文件不单独提供本项目使用地的自然环境、气候条件、公有设施、配套设施等情况，投标人若对以上情况要求了解，经采购人同意后，可以到使用地勘查，费用自理，否则将被视为熟悉上述与履行合同有关的一切情况。投标人在现场勘察所发生的一切费用及事故由投标人自行承担，采购人不承担任何责任。</w:t>
      </w:r>
    </w:p>
    <w:p>
      <w:pPr>
        <w:pStyle w:val="7"/>
        <w:keepNext w:val="0"/>
        <w:keepLines w:val="0"/>
        <w:widowControl/>
        <w:suppressLineNumbers w:val="0"/>
        <w:spacing w:before="0" w:beforeAutospacing="0" w:after="150" w:afterAutospacing="0" w:line="495" w:lineRule="atLeast"/>
        <w:ind w:left="0" w:right="0" w:firstLine="420"/>
      </w:pPr>
      <w:r>
        <w:rPr>
          <w:rFonts w:hint="eastAsia" w:ascii="宋体" w:hAnsi="宋体" w:eastAsia="宋体" w:cs="宋体"/>
          <w:sz w:val="24"/>
          <w:szCs w:val="24"/>
          <w:shd w:val="clear" w:fill="FFFFFF"/>
        </w:rPr>
        <w:t>2.2凡参与政府采购并依法取得政府采购合同的供 应商，均可使用政府采购合同向福建省政府采购网发布的政府采购合同融资业务信息的银行业金融机构申请融资，可在“政采贷”模块进行具体操作。</w:t>
      </w:r>
    </w:p>
    <w:p>
      <w:pPr>
        <w:pStyle w:val="7"/>
        <w:keepNext w:val="0"/>
        <w:keepLines w:val="0"/>
        <w:widowControl/>
        <w:suppressLineNumbers w:val="0"/>
        <w:spacing w:before="0" w:beforeAutospacing="0" w:after="150" w:afterAutospacing="0" w:line="495" w:lineRule="atLeast"/>
        <w:ind w:left="0" w:right="0" w:firstLine="420"/>
      </w:pPr>
      <w:r>
        <w:rPr>
          <w:rFonts w:hint="eastAsia" w:ascii="宋体" w:hAnsi="宋体" w:eastAsia="宋体" w:cs="宋体"/>
          <w:sz w:val="24"/>
          <w:szCs w:val="24"/>
          <w:shd w:val="clear" w:fill="FFFFFF"/>
        </w:rPr>
        <w:t>2.2.1企业申请所需提交的材料可登录“福建省政府采购网”查询。</w:t>
      </w:r>
    </w:p>
    <w:p>
      <w:pPr>
        <w:pStyle w:val="7"/>
        <w:keepNext w:val="0"/>
        <w:keepLines w:val="0"/>
        <w:widowControl/>
        <w:suppressLineNumbers w:val="0"/>
        <w:spacing w:before="0" w:beforeAutospacing="0" w:after="150" w:afterAutospacing="0" w:line="495" w:lineRule="atLeast"/>
        <w:ind w:left="0" w:right="0" w:firstLine="420"/>
      </w:pPr>
      <w:r>
        <w:rPr>
          <w:rFonts w:hint="eastAsia" w:ascii="宋体" w:hAnsi="宋体" w:eastAsia="宋体" w:cs="宋体"/>
          <w:sz w:val="24"/>
          <w:szCs w:val="24"/>
          <w:shd w:val="clear" w:fill="FFFFFF"/>
        </w:rPr>
        <w:t>2.2.2融资主要条件:</w:t>
      </w:r>
      <w:r>
        <w:rPr>
          <w:rFonts w:hint="eastAsia" w:ascii="宋体" w:hAnsi="宋体" w:eastAsia="宋体" w:cs="宋体"/>
          <w:sz w:val="24"/>
          <w:szCs w:val="24"/>
          <w:shd w:val="clear" w:fill="FFFFFF"/>
        </w:rPr>
        <w:br w:type="textWrapping"/>
      </w:r>
      <w:r>
        <w:rPr>
          <w:rFonts w:hint="eastAsia" w:ascii="宋体" w:hAnsi="宋体" w:eastAsia="宋体" w:cs="宋体"/>
          <w:sz w:val="24"/>
          <w:szCs w:val="24"/>
          <w:shd w:val="clear" w:fill="FFFFFF"/>
        </w:rPr>
        <w:t>  ①担保条件:除法定代表人或实际控制人担保外，如融资金额未超过政府采购合同金额的，银行不要求企业供 应商提供财产抵质押或第三方担保，或附加其他担保条件。</w:t>
      </w:r>
      <w:r>
        <w:rPr>
          <w:rFonts w:hint="eastAsia" w:ascii="宋体" w:hAnsi="宋体" w:eastAsia="宋体" w:cs="宋体"/>
          <w:sz w:val="24"/>
          <w:szCs w:val="24"/>
          <w:shd w:val="clear" w:fill="FFFFFF"/>
        </w:rPr>
        <w:br w:type="textWrapping"/>
      </w:r>
      <w:r>
        <w:rPr>
          <w:rFonts w:hint="eastAsia" w:ascii="宋体" w:hAnsi="宋体" w:eastAsia="宋体" w:cs="宋体"/>
          <w:sz w:val="24"/>
          <w:szCs w:val="24"/>
          <w:shd w:val="clear" w:fill="FFFFFF"/>
        </w:rPr>
        <w:t>  ②专用账户:当银行同意授信后，企业供 应商在该行开立封闭式专用账户，与采购人在合同中或通过签订补充协议约定唯一收款账号。</w:t>
      </w:r>
      <w:r>
        <w:rPr>
          <w:rFonts w:hint="eastAsia" w:ascii="宋体" w:hAnsi="宋体" w:eastAsia="宋体" w:cs="宋体"/>
          <w:sz w:val="24"/>
          <w:szCs w:val="24"/>
          <w:shd w:val="clear" w:fill="FFFFFF"/>
        </w:rPr>
        <w:br w:type="textWrapping"/>
      </w:r>
      <w:r>
        <w:rPr>
          <w:rFonts w:hint="eastAsia" w:ascii="宋体" w:hAnsi="宋体" w:eastAsia="宋体" w:cs="宋体"/>
          <w:sz w:val="24"/>
          <w:szCs w:val="24"/>
          <w:shd w:val="clear" w:fill="FFFFFF"/>
        </w:rPr>
        <w:t>  ③支付约定:银行发放贷款的同时，办理政府采购合同应收账款质押查询和登记，合同履行并验收后，采购人需将采购资金按合同约定支付到约定收款账户。</w:t>
      </w:r>
    </w:p>
    <w:p>
      <w:pPr>
        <w:pStyle w:val="7"/>
        <w:keepNext w:val="0"/>
        <w:keepLines w:val="0"/>
        <w:widowControl/>
        <w:suppressLineNumbers w:val="0"/>
        <w:spacing w:before="0" w:beforeAutospacing="0" w:after="150" w:afterAutospacing="0"/>
        <w:ind w:left="0" w:right="0"/>
      </w:pPr>
    </w:p>
    <w:p>
      <w:pPr>
        <w:pStyle w:val="7"/>
        <w:keepNext w:val="0"/>
        <w:keepLines w:val="0"/>
        <w:widowControl/>
        <w:suppressLineNumbers w:val="0"/>
        <w:spacing w:before="0" w:beforeAutospacing="0" w:after="150" w:afterAutospacing="0"/>
        <w:ind w:left="0" w:right="0"/>
      </w:pPr>
    </w:p>
    <w:p>
      <w:pPr>
        <w:pStyle w:val="7"/>
        <w:keepNext w:val="0"/>
        <w:keepLines w:val="0"/>
        <w:widowControl/>
        <w:suppressLineNumbers w:val="0"/>
        <w:spacing w:before="0" w:beforeAutospacing="0" w:after="150" w:afterAutospacing="0"/>
        <w:ind w:left="0" w:right="0"/>
      </w:pPr>
    </w:p>
    <w:p>
      <w:pPr>
        <w:pStyle w:val="7"/>
        <w:keepNext w:val="0"/>
        <w:keepLines w:val="0"/>
        <w:widowControl/>
        <w:suppressLineNumbers w:val="0"/>
        <w:spacing w:before="0" w:beforeAutospacing="0" w:after="150" w:afterAutospacing="0"/>
        <w:ind w:left="0" w:right="0"/>
      </w:pPr>
    </w:p>
    <w:p>
      <w:pPr>
        <w:pStyle w:val="7"/>
        <w:keepNext w:val="0"/>
        <w:keepLines w:val="0"/>
        <w:widowControl/>
        <w:suppressLineNumbers w:val="0"/>
        <w:spacing w:before="0" w:beforeAutospacing="0" w:after="150" w:afterAutospacing="0"/>
        <w:ind w:left="0" w:right="0"/>
      </w:pPr>
    </w:p>
    <w:p>
      <w:pPr>
        <w:pStyle w:val="7"/>
        <w:keepNext w:val="0"/>
        <w:keepLines w:val="0"/>
        <w:widowControl/>
        <w:suppressLineNumbers w:val="0"/>
        <w:spacing w:before="0" w:beforeAutospacing="0" w:after="150" w:afterAutospacing="0"/>
        <w:ind w:left="0" w:right="0"/>
      </w:pPr>
    </w:p>
    <w:p>
      <w:pPr>
        <w:pStyle w:val="7"/>
        <w:keepNext w:val="0"/>
        <w:keepLines w:val="0"/>
        <w:widowControl/>
        <w:suppressLineNumbers w:val="0"/>
        <w:spacing w:before="0" w:beforeAutospacing="0" w:after="150" w:afterAutospacing="0"/>
        <w:ind w:left="0" w:right="0"/>
      </w:pP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widowControl/>
        <w:spacing w:before="75" w:beforeAutospacing="0" w:after="75" w:afterAutospacing="0"/>
        <w:jc w:val="center"/>
      </w:pPr>
      <w:r>
        <w:rPr>
          <w:rStyle w:val="10"/>
          <w:rFonts w:hint="eastAsia" w:ascii="宋体" w:hAnsi="宋体" w:eastAsia="宋体" w:cs="宋体"/>
          <w:sz w:val="31"/>
          <w:szCs w:val="31"/>
        </w:rPr>
        <w:t>第六章   政府采购合同（参考文本）</w:t>
      </w:r>
    </w:p>
    <w:p>
      <w:pPr>
        <w:pStyle w:val="7"/>
        <w:widowControl/>
        <w:spacing w:before="75" w:beforeAutospacing="0" w:after="75" w:afterAutospacing="0"/>
      </w:pPr>
      <w:r>
        <w:rPr>
          <w:rFonts w:hint="eastAsia" w:ascii="宋体" w:hAnsi="宋体" w:eastAsia="宋体" w:cs="宋体"/>
        </w:rPr>
        <w:t> </w:t>
      </w:r>
    </w:p>
    <w:p>
      <w:pPr>
        <w:pStyle w:val="7"/>
        <w:widowControl/>
        <w:spacing w:before="75" w:beforeAutospacing="0" w:after="75" w:afterAutospacing="0"/>
        <w:jc w:val="center"/>
      </w:pPr>
      <w:r>
        <w:rPr>
          <w:rStyle w:val="10"/>
          <w:rFonts w:hint="eastAsia" w:ascii="宋体" w:hAnsi="宋体" w:eastAsia="宋体" w:cs="宋体"/>
        </w:rPr>
        <w:t>编制说明</w:t>
      </w:r>
    </w:p>
    <w:p>
      <w:pPr>
        <w:pStyle w:val="7"/>
        <w:widowControl/>
        <w:spacing w:before="75" w:beforeAutospacing="0" w:after="75" w:afterAutospacing="0"/>
      </w:pPr>
      <w:r>
        <w:rPr>
          <w:rStyle w:val="10"/>
          <w:rFonts w:hint="eastAsia" w:ascii="宋体" w:hAnsi="宋体" w:eastAsia="宋体" w:cs="宋体"/>
        </w:rPr>
        <w:t>1、签订合同应遵守政府采购法、</w:t>
      </w:r>
      <w:r>
        <w:rPr>
          <w:rStyle w:val="10"/>
          <w:rFonts w:hint="eastAsia" w:ascii="宋体" w:hAnsi="宋体" w:eastAsia="宋体" w:cs="宋体"/>
          <w:color w:val="000000"/>
        </w:rPr>
        <w:t>民</w:t>
      </w:r>
      <w:r>
        <w:rPr>
          <w:rStyle w:val="10"/>
          <w:rFonts w:hint="eastAsia" w:ascii="宋体" w:hAnsi="宋体" w:eastAsia="宋体" w:cs="宋体"/>
        </w:rPr>
        <w:t>法典。</w:t>
      </w:r>
    </w:p>
    <w:p>
      <w:pPr>
        <w:pStyle w:val="7"/>
        <w:widowControl/>
        <w:spacing w:before="75" w:beforeAutospacing="0" w:after="75" w:afterAutospacing="0"/>
      </w:pPr>
      <w:r>
        <w:rPr>
          <w:rStyle w:val="10"/>
          <w:rFonts w:hint="eastAsia" w:ascii="宋体" w:hAnsi="宋体" w:eastAsia="宋体" w:cs="宋体"/>
        </w:rPr>
        <w:t>2、签订合同时，采购人与中标人应结合招标文件第五章规定填列相应内容。招标文件第五章已有规定的，双方均不得变更或调整；招标文件第五章未作规定的，双方可通过友好协商进行约定。</w:t>
      </w:r>
    </w:p>
    <w:p>
      <w:pPr>
        <w:pStyle w:val="7"/>
        <w:widowControl/>
        <w:spacing w:before="75" w:beforeAutospacing="0" w:after="240" w:afterAutospacing="0"/>
      </w:pPr>
      <w:r>
        <w:rPr>
          <w:rStyle w:val="10"/>
          <w:rFonts w:hint="eastAsia" w:ascii="宋体" w:hAnsi="宋体" w:eastAsia="宋体" w:cs="宋体"/>
        </w:rPr>
        <w:t>3、国家有关部门对若干合同有规范文本的，可使用相应合同文本。</w:t>
      </w:r>
    </w:p>
    <w:p>
      <w:pPr>
        <w:pStyle w:val="7"/>
        <w:widowControl/>
        <w:spacing w:before="75" w:beforeAutospacing="0" w:after="75" w:afterAutospacing="0"/>
        <w:rPr>
          <w:rFonts w:eastAsia="宋体"/>
        </w:rPr>
      </w:pPr>
      <w:r>
        <w:rPr>
          <w:rStyle w:val="10"/>
          <w:rFonts w:hint="eastAsia" w:ascii="宋体" w:hAnsi="宋体" w:eastAsia="宋体" w:cs="宋体"/>
        </w:rPr>
        <w:t>甲方：</w:t>
      </w:r>
      <w:r>
        <w:rPr>
          <w:rFonts w:hint="eastAsia" w:ascii="宋体" w:hAnsi="宋体" w:eastAsia="宋体" w:cs="宋体"/>
          <w:u w:val="single"/>
        </w:rPr>
        <w:t>泉州师范学院</w:t>
      </w:r>
    </w:p>
    <w:p>
      <w:pPr>
        <w:pStyle w:val="7"/>
        <w:widowControl/>
        <w:spacing w:before="75" w:beforeAutospacing="0" w:after="75" w:afterAutospacing="0"/>
      </w:pPr>
      <w:r>
        <w:rPr>
          <w:rFonts w:hint="eastAsia" w:ascii="宋体" w:hAnsi="宋体" w:eastAsia="宋体" w:cs="宋体"/>
        </w:rPr>
        <w:t>乙方：</w:t>
      </w:r>
    </w:p>
    <w:p>
      <w:pPr>
        <w:pStyle w:val="7"/>
        <w:widowControl/>
        <w:spacing w:before="75" w:beforeAutospacing="0" w:after="75" w:afterAutospacing="0"/>
      </w:pPr>
      <w:r>
        <w:rPr>
          <w:rFonts w:hint="eastAsia" w:ascii="宋体" w:hAnsi="宋体" w:eastAsia="宋体" w:cs="宋体"/>
        </w:rPr>
        <w:t> </w:t>
      </w:r>
    </w:p>
    <w:p>
      <w:pPr>
        <w:pStyle w:val="7"/>
        <w:widowControl/>
        <w:spacing w:before="75" w:beforeAutospacing="0" w:after="75" w:afterAutospacing="0"/>
        <w:ind w:firstLine="480"/>
      </w:pPr>
      <w:r>
        <w:rPr>
          <w:rFonts w:hint="eastAsia" w:ascii="宋体" w:hAnsi="宋体" w:eastAsia="宋体" w:cs="宋体"/>
        </w:rPr>
        <w:t>根据项目编号为</w:t>
      </w:r>
      <w:r>
        <w:rPr>
          <w:rFonts w:hint="eastAsia" w:ascii="宋体" w:hAnsi="宋体" w:eastAsia="宋体" w:cs="宋体"/>
          <w:u w:val="single"/>
        </w:rPr>
        <w:t>[350500]JP[GK]202200</w:t>
      </w:r>
      <w:r>
        <w:rPr>
          <w:rFonts w:hint="eastAsia" w:ascii="宋体" w:hAnsi="宋体" w:eastAsia="宋体" w:cs="宋体"/>
          <w:u w:val="single"/>
          <w:lang w:val="en-US" w:eastAsia="zh-CN"/>
        </w:rPr>
        <w:t xml:space="preserve"> </w:t>
      </w:r>
      <w:r>
        <w:rPr>
          <w:rFonts w:hint="eastAsia" w:ascii="宋体" w:hAnsi="宋体" w:eastAsia="宋体" w:cs="宋体"/>
        </w:rPr>
        <w:t>的</w:t>
      </w:r>
      <w:r>
        <w:rPr>
          <w:rFonts w:hint="eastAsia" w:ascii="宋体" w:hAnsi="宋体" w:eastAsia="宋体" w:cs="宋体"/>
          <w:u w:val="single"/>
        </w:rPr>
        <w:t>泉州师范学院物信学院物理学专业教学设备采购项目货物类采购项目</w:t>
      </w:r>
      <w:r>
        <w:rPr>
          <w:rFonts w:hint="eastAsia" w:ascii="宋体" w:hAnsi="宋体" w:eastAsia="宋体" w:cs="宋体"/>
        </w:rPr>
        <w:t>项目（以下简称：“本项目”）的招标结果，乙方为中标人。现经甲乙双方友好协商，就以下事项达成一致并签订本合同：</w:t>
      </w:r>
    </w:p>
    <w:p>
      <w:pPr>
        <w:pStyle w:val="7"/>
        <w:widowControl/>
        <w:spacing w:before="75" w:beforeAutospacing="0" w:after="75" w:afterAutospacing="0"/>
        <w:ind w:firstLine="480"/>
      </w:pPr>
      <w:r>
        <w:rPr>
          <w:rFonts w:hint="eastAsia" w:ascii="宋体" w:hAnsi="宋体" w:eastAsia="宋体" w:cs="宋体"/>
        </w:rPr>
        <w:t>1、下列合同文件是构成本合同不可分割的部分：</w:t>
      </w:r>
    </w:p>
    <w:p>
      <w:pPr>
        <w:pStyle w:val="7"/>
        <w:widowControl/>
        <w:spacing w:before="75" w:beforeAutospacing="0" w:after="75" w:afterAutospacing="0"/>
        <w:ind w:firstLine="480"/>
      </w:pPr>
      <w:r>
        <w:rPr>
          <w:rFonts w:hint="eastAsia" w:ascii="宋体" w:hAnsi="宋体" w:eastAsia="宋体" w:cs="宋体"/>
        </w:rPr>
        <w:t>1.1合同条款；</w:t>
      </w:r>
    </w:p>
    <w:p>
      <w:pPr>
        <w:pStyle w:val="7"/>
        <w:widowControl/>
        <w:spacing w:before="75" w:beforeAutospacing="0" w:after="75" w:afterAutospacing="0"/>
        <w:ind w:firstLine="480"/>
      </w:pPr>
      <w:r>
        <w:rPr>
          <w:rFonts w:hint="eastAsia" w:ascii="宋体" w:hAnsi="宋体" w:eastAsia="宋体" w:cs="宋体"/>
        </w:rPr>
        <w:t>1.2招标文件、乙方的电子投标文件；</w:t>
      </w:r>
    </w:p>
    <w:p>
      <w:pPr>
        <w:pStyle w:val="7"/>
        <w:widowControl/>
        <w:spacing w:before="75" w:beforeAutospacing="0" w:after="75" w:afterAutospacing="0"/>
        <w:ind w:firstLine="480"/>
      </w:pPr>
      <w:r>
        <w:rPr>
          <w:rFonts w:hint="eastAsia" w:ascii="宋体" w:hAnsi="宋体" w:eastAsia="宋体" w:cs="宋体"/>
        </w:rPr>
        <w:t>1.3其他文件或材料：□无。□</w:t>
      </w:r>
      <w:r>
        <w:rPr>
          <w:rFonts w:hint="eastAsia" w:ascii="宋体" w:hAnsi="宋体" w:eastAsia="宋体" w:cs="宋体"/>
          <w:color w:val="393939"/>
        </w:rPr>
        <w:t>（若有联合协议或分包意向协议）</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2、合同标的</w:t>
      </w:r>
    </w:p>
    <w:p>
      <w:pPr>
        <w:pStyle w:val="7"/>
        <w:widowControl/>
        <w:spacing w:before="75" w:beforeAutospacing="0" w:after="75" w:afterAutospacing="0"/>
        <w:ind w:firstLine="480"/>
      </w:pPr>
      <w:r>
        <w:rPr>
          <w:rFonts w:hint="eastAsia" w:ascii="宋体" w:hAnsi="宋体" w:eastAsia="宋体" w:cs="宋体"/>
          <w:u w:val="single"/>
        </w:rPr>
        <w:t>（按照实际情况编制填写，可以是表格或文字描述）</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3、合同总金额</w:t>
      </w:r>
    </w:p>
    <w:p>
      <w:pPr>
        <w:pStyle w:val="7"/>
        <w:widowControl/>
        <w:spacing w:before="75" w:beforeAutospacing="0" w:after="75" w:afterAutospacing="0"/>
        <w:ind w:firstLine="480"/>
      </w:pPr>
      <w:r>
        <w:rPr>
          <w:rFonts w:hint="eastAsia" w:ascii="宋体" w:hAnsi="宋体" w:eastAsia="宋体" w:cs="宋体"/>
        </w:rPr>
        <w:t>3.1合同总金额为人民币大写：元（￥）。</w:t>
      </w:r>
    </w:p>
    <w:p>
      <w:pPr>
        <w:pStyle w:val="7"/>
        <w:widowControl/>
        <w:spacing w:before="75" w:beforeAutospacing="0" w:after="75" w:afterAutospacing="0"/>
        <w:ind w:firstLine="480"/>
      </w:pPr>
      <w:r>
        <w:rPr>
          <w:rFonts w:hint="eastAsia" w:ascii="宋体" w:hAnsi="宋体" w:eastAsia="宋体" w:cs="宋体"/>
        </w:rPr>
        <w:t>4、合同标的交付时间、地点和条件</w:t>
      </w:r>
    </w:p>
    <w:p>
      <w:pPr>
        <w:pStyle w:val="7"/>
        <w:widowControl/>
        <w:spacing w:before="75" w:beforeAutospacing="0" w:after="75" w:afterAutospacing="0"/>
        <w:ind w:firstLine="480"/>
      </w:pPr>
      <w:r>
        <w:rPr>
          <w:rFonts w:hint="eastAsia" w:ascii="宋体" w:hAnsi="宋体" w:eastAsia="宋体" w:cs="宋体"/>
        </w:rPr>
        <w:t>4.1交付时间：；</w:t>
      </w:r>
    </w:p>
    <w:p>
      <w:pPr>
        <w:pStyle w:val="7"/>
        <w:widowControl/>
        <w:spacing w:before="75" w:beforeAutospacing="0" w:after="75" w:afterAutospacing="0"/>
        <w:ind w:firstLine="480"/>
      </w:pPr>
      <w:r>
        <w:rPr>
          <w:rFonts w:hint="eastAsia" w:ascii="宋体" w:hAnsi="宋体" w:eastAsia="宋体" w:cs="宋体"/>
        </w:rPr>
        <w:t>4.2交付地点：；</w:t>
      </w:r>
    </w:p>
    <w:p>
      <w:pPr>
        <w:pStyle w:val="7"/>
        <w:widowControl/>
        <w:spacing w:before="75" w:beforeAutospacing="0" w:after="75" w:afterAutospacing="0"/>
        <w:ind w:firstLine="480"/>
      </w:pPr>
      <w:r>
        <w:rPr>
          <w:rFonts w:hint="eastAsia" w:ascii="宋体" w:hAnsi="宋体" w:eastAsia="宋体" w:cs="宋体"/>
        </w:rPr>
        <w:t>4.3交付条件：。</w:t>
      </w:r>
    </w:p>
    <w:p>
      <w:pPr>
        <w:pStyle w:val="7"/>
        <w:widowControl/>
        <w:spacing w:before="75" w:beforeAutospacing="0" w:after="75" w:afterAutospacing="0"/>
        <w:ind w:firstLine="480"/>
      </w:pPr>
      <w:r>
        <w:rPr>
          <w:rFonts w:hint="eastAsia" w:ascii="宋体" w:hAnsi="宋体" w:eastAsia="宋体" w:cs="宋体"/>
        </w:rPr>
        <w:t>5、合同标的应符合招标文件、乙方电子投标文件的规定或约定，具体如下：</w:t>
      </w:r>
    </w:p>
    <w:p>
      <w:pPr>
        <w:pStyle w:val="7"/>
        <w:widowControl/>
        <w:spacing w:before="75" w:beforeAutospacing="0" w:after="75" w:afterAutospacing="0"/>
        <w:ind w:firstLine="480"/>
      </w:pPr>
      <w:r>
        <w:rPr>
          <w:rFonts w:hint="eastAsia" w:ascii="宋体" w:hAnsi="宋体" w:eastAsia="宋体" w:cs="宋体"/>
          <w:u w:val="single"/>
        </w:rPr>
        <w:t>（按照实际情况编制填写，可以是表格或文字描述）</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6、验收</w:t>
      </w:r>
    </w:p>
    <w:p>
      <w:pPr>
        <w:pStyle w:val="7"/>
        <w:widowControl/>
        <w:spacing w:before="75" w:beforeAutospacing="0" w:after="75" w:afterAutospacing="0"/>
        <w:ind w:firstLine="480"/>
      </w:pPr>
      <w:r>
        <w:rPr>
          <w:rFonts w:hint="eastAsia" w:ascii="宋体" w:hAnsi="宋体" w:eastAsia="宋体" w:cs="宋体"/>
        </w:rPr>
        <w:t>6.1验收应按照招标文件、乙方电子投标文件的规定或约定进行，具体如下：</w:t>
      </w:r>
    </w:p>
    <w:p>
      <w:pPr>
        <w:pStyle w:val="7"/>
        <w:widowControl/>
        <w:spacing w:before="75" w:beforeAutospacing="0" w:after="75" w:afterAutospacing="0"/>
        <w:ind w:firstLine="480"/>
      </w:pPr>
      <w:r>
        <w:rPr>
          <w:rFonts w:hint="eastAsia" w:ascii="宋体" w:hAnsi="宋体" w:eastAsia="宋体" w:cs="宋体"/>
          <w:u w:val="single"/>
        </w:rPr>
        <w:t>（按照实际情况编制填写，可以是表格或文字描述）</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6.2本项目是否邀请其他投标人参与验收：</w:t>
      </w:r>
    </w:p>
    <w:p>
      <w:pPr>
        <w:pStyle w:val="7"/>
        <w:widowControl/>
        <w:spacing w:before="75" w:beforeAutospacing="0" w:after="75" w:afterAutospacing="0"/>
        <w:ind w:firstLine="480"/>
      </w:pPr>
      <w:r>
        <w:rPr>
          <w:rFonts w:hint="eastAsia" w:ascii="宋体" w:hAnsi="宋体" w:eastAsia="宋体" w:cs="宋体"/>
        </w:rPr>
        <w:t>□不邀请。□邀请，具体如下：</w:t>
      </w:r>
      <w:r>
        <w:rPr>
          <w:rFonts w:hint="eastAsia" w:ascii="宋体" w:hAnsi="宋体" w:eastAsia="宋体" w:cs="宋体"/>
          <w:u w:val="single"/>
        </w:rPr>
        <w:t>（按照招标文件规定填写）</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7、合同款项的支付应按照招标文件的规定进行，具体如下：</w:t>
      </w:r>
    </w:p>
    <w:p>
      <w:pPr>
        <w:pStyle w:val="7"/>
        <w:widowControl/>
        <w:spacing w:before="75" w:beforeAutospacing="0" w:after="75" w:afterAutospacing="0"/>
        <w:ind w:firstLine="480"/>
      </w:pPr>
      <w:r>
        <w:rPr>
          <w:rFonts w:hint="eastAsia" w:ascii="宋体" w:hAnsi="宋体" w:eastAsia="宋体" w:cs="宋体"/>
          <w:u w:val="single"/>
        </w:rPr>
        <w:t>（按照实际情况编制填写，可以是表格或文字描述，包括一次性支付或分期支付等）</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8、履约保证金</w:t>
      </w:r>
    </w:p>
    <w:p>
      <w:pPr>
        <w:pStyle w:val="7"/>
        <w:widowControl/>
        <w:spacing w:before="75" w:beforeAutospacing="0" w:after="75" w:afterAutospacing="0"/>
        <w:ind w:firstLine="480"/>
      </w:pPr>
      <w:r>
        <w:rPr>
          <w:rFonts w:hint="eastAsia" w:ascii="宋体" w:hAnsi="宋体" w:eastAsia="宋体" w:cs="宋体"/>
        </w:rPr>
        <w:t>□无。□有，具体如下：</w:t>
      </w:r>
      <w:r>
        <w:rPr>
          <w:rFonts w:hint="eastAsia" w:ascii="宋体" w:hAnsi="宋体" w:eastAsia="宋体" w:cs="宋体"/>
          <w:u w:val="single"/>
        </w:rPr>
        <w:t>（按照招标文件规定填写）</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9、合同有效期</w:t>
      </w:r>
    </w:p>
    <w:p>
      <w:pPr>
        <w:pStyle w:val="7"/>
        <w:widowControl/>
        <w:spacing w:before="75" w:beforeAutospacing="0" w:after="75" w:afterAutospacing="0"/>
        <w:ind w:firstLine="480"/>
      </w:pPr>
      <w:r>
        <w:rPr>
          <w:rFonts w:hint="eastAsia" w:ascii="宋体" w:hAnsi="宋体" w:eastAsia="宋体" w:cs="宋体"/>
          <w:u w:val="single"/>
        </w:rPr>
        <w:t>（按照实际情况编制填写，可以是表格或文字描述）</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10、违约责任</w:t>
      </w:r>
    </w:p>
    <w:p>
      <w:pPr>
        <w:pStyle w:val="7"/>
        <w:widowControl/>
        <w:spacing w:before="75" w:beforeAutospacing="0" w:after="75" w:afterAutospacing="0"/>
        <w:ind w:firstLine="480"/>
      </w:pPr>
      <w:r>
        <w:rPr>
          <w:rFonts w:hint="eastAsia" w:ascii="宋体" w:hAnsi="宋体" w:eastAsia="宋体" w:cs="宋体"/>
          <w:u w:val="single"/>
        </w:rPr>
        <w:t>（按照实际情况编制填写，可以是表格或文字描述）</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11、知识产权</w:t>
      </w:r>
    </w:p>
    <w:p>
      <w:pPr>
        <w:pStyle w:val="7"/>
        <w:widowControl/>
        <w:spacing w:before="75" w:beforeAutospacing="0" w:after="75" w:afterAutospacing="0"/>
        <w:ind w:firstLine="480"/>
      </w:pPr>
      <w:r>
        <w:rPr>
          <w:rFonts w:hint="eastAsia" w:ascii="宋体" w:hAnsi="宋体" w:eastAsia="宋体" w:cs="宋体"/>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7"/>
        <w:widowControl/>
        <w:spacing w:before="75" w:beforeAutospacing="0" w:after="75" w:afterAutospacing="0"/>
        <w:ind w:firstLine="480"/>
      </w:pPr>
      <w:r>
        <w:rPr>
          <w:rFonts w:hint="eastAsia" w:ascii="宋体" w:hAnsi="宋体" w:eastAsia="宋体" w:cs="宋体"/>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u w:val="single"/>
        </w:rPr>
        <w:t>（按照实际情况编制填写）</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12、解决争议的方法</w:t>
      </w:r>
    </w:p>
    <w:p>
      <w:pPr>
        <w:pStyle w:val="7"/>
        <w:widowControl/>
        <w:spacing w:before="75" w:beforeAutospacing="0" w:after="75" w:afterAutospacing="0"/>
        <w:ind w:firstLine="480"/>
      </w:pPr>
      <w:r>
        <w:rPr>
          <w:rFonts w:hint="eastAsia" w:ascii="宋体" w:hAnsi="宋体" w:eastAsia="宋体" w:cs="宋体"/>
        </w:rPr>
        <w:t>12.1甲、乙双方协商解决。</w:t>
      </w:r>
    </w:p>
    <w:p>
      <w:pPr>
        <w:pStyle w:val="7"/>
        <w:widowControl/>
        <w:spacing w:before="75" w:beforeAutospacing="0" w:after="75" w:afterAutospacing="0"/>
        <w:ind w:firstLine="480"/>
      </w:pPr>
      <w:r>
        <w:rPr>
          <w:rFonts w:hint="eastAsia" w:ascii="宋体" w:hAnsi="宋体" w:eastAsia="宋体" w:cs="宋体"/>
        </w:rPr>
        <w:t>12.2若协商解决不成，则通过下列途径之一解决：</w:t>
      </w:r>
    </w:p>
    <w:p>
      <w:pPr>
        <w:pStyle w:val="7"/>
        <w:widowControl/>
        <w:spacing w:before="75" w:beforeAutospacing="0" w:after="75" w:afterAutospacing="0"/>
        <w:ind w:firstLine="480"/>
      </w:pPr>
      <w:r>
        <w:rPr>
          <w:rFonts w:hint="eastAsia" w:ascii="宋体" w:hAnsi="宋体" w:eastAsia="宋体" w:cs="宋体"/>
        </w:rPr>
        <w:t>□提交仲裁委员会仲裁，具体如下：</w:t>
      </w:r>
      <w:r>
        <w:rPr>
          <w:rFonts w:hint="eastAsia" w:ascii="宋体" w:hAnsi="宋体" w:eastAsia="宋体" w:cs="宋体"/>
          <w:u w:val="single"/>
        </w:rPr>
        <w:t>（按照实际情况编制填写）</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□向人民法院提起诉讼，具体如下：</w:t>
      </w:r>
      <w:r>
        <w:rPr>
          <w:rFonts w:hint="eastAsia" w:ascii="宋体" w:hAnsi="宋体" w:eastAsia="宋体" w:cs="宋体"/>
          <w:u w:val="single"/>
        </w:rPr>
        <w:t>（按照实际情况编制填写）</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13、不可抗力</w:t>
      </w:r>
    </w:p>
    <w:p>
      <w:pPr>
        <w:pStyle w:val="7"/>
        <w:widowControl/>
        <w:spacing w:before="75" w:beforeAutospacing="0" w:after="75" w:afterAutospacing="0"/>
        <w:ind w:firstLine="480"/>
      </w:pPr>
      <w:r>
        <w:rPr>
          <w:rFonts w:hint="eastAsia" w:ascii="宋体" w:hAnsi="宋体" w:eastAsia="宋体" w:cs="宋体"/>
        </w:rPr>
        <w:t>13.1因不可抗力造成违约的，遭受不可抗力一方应及时向对方通报不能履行或不能完全履行的理由，并在随后取得有关主管机关证明后的</w:t>
      </w:r>
      <w:r>
        <w:rPr>
          <w:rFonts w:ascii="Calibri" w:hAnsi="Calibri" w:cs="Calibri"/>
        </w:rPr>
        <w:t>15</w:t>
      </w:r>
      <w:r>
        <w:rPr>
          <w:rFonts w:hint="eastAsia" w:ascii="宋体" w:hAnsi="宋体" w:eastAsia="宋体" w:cs="宋体"/>
        </w:rPr>
        <w:t>日内向另一方提供不可抗力发生及持续期间的充分证据。基于以上行为，允许遭受不可抗力一方延期履行、部分履行或不履行合同，并根据情况可部分或全部免于承担违约责任。</w:t>
      </w:r>
    </w:p>
    <w:p>
      <w:pPr>
        <w:pStyle w:val="7"/>
        <w:widowControl/>
        <w:spacing w:before="75" w:beforeAutospacing="0" w:after="75" w:afterAutospacing="0"/>
        <w:ind w:firstLine="480"/>
      </w:pPr>
      <w:r>
        <w:rPr>
          <w:rFonts w:hint="eastAsia" w:ascii="宋体" w:hAnsi="宋体" w:eastAsia="宋体" w:cs="宋体"/>
        </w:rPr>
        <w:t>13.2本合同中的不可抗力指不能预见、不能避免、不能克服的客观情况，包括但不限于：自然灾害如地震、台风、洪水、火灾及政府行为、法律规定或其适用的变化或其他任何无法预见、避免或控制的事件。</w:t>
      </w:r>
    </w:p>
    <w:p>
      <w:pPr>
        <w:pStyle w:val="7"/>
        <w:widowControl/>
        <w:spacing w:before="75" w:beforeAutospacing="0" w:after="75" w:afterAutospacing="0"/>
        <w:ind w:firstLine="480"/>
      </w:pPr>
      <w:r>
        <w:rPr>
          <w:rFonts w:hint="eastAsia" w:ascii="宋体" w:hAnsi="宋体" w:eastAsia="宋体" w:cs="宋体"/>
        </w:rPr>
        <w:t>14、合同条款</w:t>
      </w:r>
    </w:p>
    <w:p>
      <w:pPr>
        <w:pStyle w:val="7"/>
        <w:widowControl/>
        <w:spacing w:before="75" w:beforeAutospacing="0" w:after="75" w:afterAutospacing="0"/>
        <w:ind w:firstLine="480"/>
      </w:pPr>
      <w:r>
        <w:rPr>
          <w:rFonts w:hint="eastAsia" w:ascii="宋体" w:hAnsi="宋体" w:eastAsia="宋体" w:cs="宋体"/>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15、其他约定</w:t>
      </w:r>
    </w:p>
    <w:p>
      <w:pPr>
        <w:pStyle w:val="7"/>
        <w:widowControl/>
        <w:spacing w:before="75" w:beforeAutospacing="0" w:after="75" w:afterAutospacing="0"/>
        <w:ind w:firstLine="480"/>
      </w:pPr>
      <w:r>
        <w:rPr>
          <w:rFonts w:hint="eastAsia" w:ascii="宋体" w:hAnsi="宋体" w:eastAsia="宋体" w:cs="宋体"/>
        </w:rPr>
        <w:t>15.1合同文件与本合同具有同等法律效力。</w:t>
      </w:r>
    </w:p>
    <w:p>
      <w:pPr>
        <w:pStyle w:val="7"/>
        <w:widowControl/>
        <w:spacing w:before="75" w:beforeAutospacing="0" w:after="75" w:afterAutospacing="0"/>
        <w:ind w:firstLine="480"/>
      </w:pPr>
      <w:r>
        <w:rPr>
          <w:rFonts w:hint="eastAsia" w:ascii="宋体" w:hAnsi="宋体" w:eastAsia="宋体" w:cs="宋体"/>
        </w:rPr>
        <w:t>15.2本合同未尽事宜，双方可另行补充。</w:t>
      </w:r>
    </w:p>
    <w:p>
      <w:pPr>
        <w:pStyle w:val="7"/>
        <w:widowControl/>
        <w:spacing w:before="75" w:beforeAutospacing="0" w:after="75" w:afterAutospacing="0"/>
        <w:ind w:firstLine="480"/>
      </w:pPr>
      <w:r>
        <w:rPr>
          <w:rFonts w:hint="eastAsia" w:ascii="宋体" w:hAnsi="宋体" w:eastAsia="宋体" w:cs="宋体"/>
        </w:rPr>
        <w:t>15.3合同生效：自签订之日起生效；通过福建省政府采购网上公开信息系统采用电子形式签订合同的，签订之日以系统记载的双方使用各自</w:t>
      </w:r>
      <w:r>
        <w:rPr>
          <w:rFonts w:ascii="Calibri" w:hAnsi="Calibri" w:cs="Calibri"/>
        </w:rPr>
        <w:t>CA</w:t>
      </w:r>
      <w:r>
        <w:rPr>
          <w:rFonts w:hint="eastAsia" w:ascii="宋体" w:hAnsi="宋体" w:eastAsia="宋体" w:cs="宋体"/>
        </w:rPr>
        <w:t>证书在合同上加盖单位公章或合同章的日期中的最晚时间为准。</w:t>
      </w:r>
    </w:p>
    <w:p>
      <w:pPr>
        <w:pStyle w:val="7"/>
        <w:widowControl/>
        <w:spacing w:before="75" w:beforeAutospacing="0" w:after="75" w:afterAutospacing="0"/>
        <w:ind w:firstLine="480"/>
      </w:pPr>
      <w:r>
        <w:rPr>
          <w:rFonts w:hint="eastAsia" w:ascii="宋体" w:hAnsi="宋体" w:eastAsia="宋体" w:cs="宋体"/>
        </w:rPr>
        <w:t>15.4本合同一式</w:t>
      </w:r>
      <w:r>
        <w:rPr>
          <w:rFonts w:hint="eastAsia" w:ascii="宋体" w:hAnsi="宋体" w:eastAsia="宋体" w:cs="宋体"/>
          <w:u w:val="single"/>
        </w:rPr>
        <w:t>（填写具体份数）</w:t>
      </w:r>
      <w:r>
        <w:rPr>
          <w:rFonts w:hint="eastAsia" w:ascii="宋体" w:hAnsi="宋体" w:eastAsia="宋体" w:cs="宋体"/>
        </w:rPr>
        <w:t>份，经双方授权代表签字并盖章后生效。甲方、乙方各执</w:t>
      </w:r>
      <w:r>
        <w:rPr>
          <w:rFonts w:hint="eastAsia" w:ascii="宋体" w:hAnsi="宋体" w:eastAsia="宋体" w:cs="宋体"/>
          <w:u w:val="single"/>
        </w:rPr>
        <w:t>（填写具体份数）</w:t>
      </w:r>
      <w:r>
        <w:rPr>
          <w:rFonts w:hint="eastAsia" w:ascii="宋体" w:hAnsi="宋体" w:eastAsia="宋体" w:cs="宋体"/>
        </w:rPr>
        <w:t>份，送</w:t>
      </w:r>
      <w:r>
        <w:rPr>
          <w:rFonts w:hint="eastAsia" w:ascii="宋体" w:hAnsi="宋体" w:eastAsia="宋体" w:cs="宋体"/>
          <w:u w:val="single"/>
        </w:rPr>
        <w:t>（填写需要备案的监管部门的全称）</w:t>
      </w:r>
      <w:r>
        <w:rPr>
          <w:rFonts w:hint="eastAsia" w:ascii="宋体" w:hAnsi="宋体" w:eastAsia="宋体" w:cs="宋体"/>
        </w:rPr>
        <w:t>备案</w:t>
      </w:r>
      <w:r>
        <w:rPr>
          <w:rFonts w:hint="eastAsia" w:ascii="宋体" w:hAnsi="宋体" w:eastAsia="宋体" w:cs="宋体"/>
          <w:u w:val="single"/>
        </w:rPr>
        <w:t>（填写具体份数）</w:t>
      </w:r>
      <w:r>
        <w:rPr>
          <w:rFonts w:hint="eastAsia" w:ascii="宋体" w:hAnsi="宋体" w:eastAsia="宋体" w:cs="宋体"/>
        </w:rPr>
        <w:t>份，具有同等效力。</w:t>
      </w:r>
    </w:p>
    <w:p>
      <w:pPr>
        <w:pStyle w:val="7"/>
        <w:widowControl/>
        <w:spacing w:before="75" w:beforeAutospacing="0" w:after="75" w:afterAutospacing="0"/>
        <w:ind w:firstLine="480"/>
      </w:pPr>
      <w:r>
        <w:rPr>
          <w:rFonts w:hint="eastAsia" w:ascii="宋体" w:hAnsi="宋体" w:eastAsia="宋体" w:cs="宋体"/>
        </w:rPr>
        <w:t>15.5其他：□无。□</w:t>
      </w:r>
      <w:r>
        <w:rPr>
          <w:rFonts w:hint="eastAsia" w:ascii="宋体" w:hAnsi="宋体" w:eastAsia="宋体" w:cs="宋体"/>
          <w:u w:val="single"/>
        </w:rPr>
        <w:t>（按照实际情况编制填写需要增加的内容）</w:t>
      </w:r>
      <w:r>
        <w:rPr>
          <w:rFonts w:hint="eastAsia" w:ascii="宋体" w:hAnsi="宋体" w:eastAsia="宋体" w:cs="宋体"/>
        </w:rPr>
        <w:t>。</w:t>
      </w:r>
    </w:p>
    <w:p>
      <w:pPr>
        <w:pStyle w:val="7"/>
        <w:widowControl/>
        <w:spacing w:before="75" w:beforeAutospacing="0" w:after="75" w:afterAutospacing="0"/>
        <w:jc w:val="center"/>
      </w:pPr>
      <w:r>
        <w:rPr>
          <w:rFonts w:hint="eastAsia" w:ascii="宋体" w:hAnsi="宋体" w:eastAsia="宋体" w:cs="宋体"/>
        </w:rPr>
        <w:t>（以下无正文）</w:t>
      </w:r>
    </w:p>
    <w:p>
      <w:pPr>
        <w:pStyle w:val="7"/>
        <w:widowControl/>
        <w:spacing w:before="75" w:beforeAutospacing="0" w:after="75" w:afterAutospacing="0"/>
      </w:pPr>
      <w:r>
        <w:rPr>
          <w:rFonts w:hint="eastAsia" w:ascii="宋体" w:hAnsi="宋体" w:eastAsia="宋体" w:cs="宋体"/>
        </w:rPr>
        <w:t> </w:t>
      </w:r>
    </w:p>
    <w:p>
      <w:pPr>
        <w:pStyle w:val="7"/>
        <w:widowControl/>
        <w:spacing w:before="75" w:beforeAutospacing="0" w:after="75" w:afterAutospacing="0"/>
      </w:pPr>
      <w:r>
        <w:rPr>
          <w:rFonts w:hint="eastAsia" w:ascii="宋体" w:hAnsi="宋体" w:eastAsia="宋体" w:cs="宋体"/>
        </w:rPr>
        <w:t> </w:t>
      </w:r>
    </w:p>
    <w:p>
      <w:pPr>
        <w:pStyle w:val="7"/>
        <w:widowControl/>
        <w:spacing w:before="75" w:beforeAutospacing="0" w:after="75" w:afterAutospacing="0"/>
      </w:pPr>
      <w:r>
        <w:rPr>
          <w:rFonts w:hint="eastAsia" w:ascii="宋体" w:hAnsi="宋体" w:eastAsia="宋体" w:cs="宋体"/>
        </w:rPr>
        <w:t>甲方：泉州师范学院乙方：</w:t>
      </w:r>
    </w:p>
    <w:p>
      <w:pPr>
        <w:pStyle w:val="7"/>
        <w:widowControl/>
        <w:spacing w:before="75" w:beforeAutospacing="0" w:after="75" w:afterAutospacing="0"/>
      </w:pPr>
      <w:r>
        <w:rPr>
          <w:rFonts w:hint="eastAsia" w:ascii="宋体" w:hAnsi="宋体" w:eastAsia="宋体" w:cs="宋体"/>
        </w:rPr>
        <w:t>住所：泉州市丰泽区东海大街398号住所：</w:t>
      </w:r>
    </w:p>
    <w:p>
      <w:pPr>
        <w:pStyle w:val="7"/>
        <w:widowControl/>
        <w:spacing w:before="75" w:beforeAutospacing="0" w:after="75" w:afterAutospacing="0"/>
      </w:pPr>
      <w:r>
        <w:rPr>
          <w:rFonts w:hint="eastAsia" w:ascii="宋体" w:hAnsi="宋体" w:eastAsia="宋体" w:cs="宋体"/>
        </w:rPr>
        <w:t>单位负责人：单位负责人：</w:t>
      </w:r>
    </w:p>
    <w:p>
      <w:pPr>
        <w:pStyle w:val="7"/>
        <w:widowControl/>
        <w:spacing w:before="75" w:beforeAutospacing="0" w:after="75" w:afterAutospacing="0"/>
      </w:pPr>
      <w:r>
        <w:rPr>
          <w:rFonts w:hint="eastAsia" w:ascii="宋体" w:hAnsi="宋体" w:eastAsia="宋体" w:cs="宋体"/>
        </w:rPr>
        <w:t>委托代理人：0595-22919532委托代理人：</w:t>
      </w:r>
    </w:p>
    <w:p>
      <w:pPr>
        <w:pStyle w:val="7"/>
        <w:widowControl/>
        <w:spacing w:before="75" w:beforeAutospacing="0" w:after="75" w:afterAutospacing="0"/>
      </w:pPr>
      <w:r>
        <w:rPr>
          <w:rFonts w:hint="eastAsia" w:ascii="宋体" w:hAnsi="宋体" w:eastAsia="宋体" w:cs="宋体"/>
        </w:rPr>
        <w:t>联系方法：0595-22919532联系方法：</w:t>
      </w:r>
    </w:p>
    <w:p>
      <w:pPr>
        <w:pStyle w:val="7"/>
        <w:widowControl/>
        <w:spacing w:before="75" w:beforeAutospacing="0" w:after="75" w:afterAutospacing="0"/>
      </w:pPr>
      <w:r>
        <w:rPr>
          <w:rFonts w:hint="eastAsia" w:ascii="宋体" w:hAnsi="宋体" w:eastAsia="宋体" w:cs="宋体"/>
        </w:rPr>
        <w:t>开户银行：开户银行：</w:t>
      </w:r>
    </w:p>
    <w:p>
      <w:pPr>
        <w:pStyle w:val="7"/>
        <w:widowControl/>
        <w:spacing w:before="75" w:beforeAutospacing="0" w:after="75" w:afterAutospacing="0"/>
      </w:pPr>
      <w:r>
        <w:rPr>
          <w:rFonts w:hint="eastAsia" w:ascii="宋体" w:hAnsi="宋体" w:eastAsia="宋体" w:cs="宋体"/>
        </w:rPr>
        <w:t>账号：账号：</w:t>
      </w:r>
    </w:p>
    <w:p>
      <w:pPr>
        <w:pStyle w:val="7"/>
        <w:widowControl/>
        <w:spacing w:before="75" w:beforeAutospacing="0" w:after="75" w:afterAutospacing="0"/>
      </w:pPr>
      <w:r>
        <w:rPr>
          <w:rFonts w:hint="eastAsia" w:ascii="宋体" w:hAnsi="宋体" w:eastAsia="宋体" w:cs="宋体"/>
        </w:rPr>
        <w:t> </w:t>
      </w:r>
    </w:p>
    <w:p>
      <w:pPr>
        <w:pStyle w:val="7"/>
        <w:widowControl/>
        <w:spacing w:before="75" w:beforeAutospacing="0" w:after="75" w:afterAutospacing="0"/>
      </w:pPr>
      <w:r>
        <w:rPr>
          <w:rFonts w:hint="eastAsia" w:ascii="宋体" w:hAnsi="宋体" w:eastAsia="宋体" w:cs="宋体"/>
        </w:rPr>
        <w:t> </w:t>
      </w:r>
    </w:p>
    <w:p>
      <w:pPr>
        <w:pStyle w:val="7"/>
        <w:widowControl/>
        <w:spacing w:before="75" w:beforeAutospacing="0" w:after="75" w:afterAutospacing="0"/>
      </w:pPr>
      <w:r>
        <w:rPr>
          <w:rFonts w:hint="eastAsia" w:ascii="宋体" w:hAnsi="宋体" w:eastAsia="宋体" w:cs="宋体"/>
        </w:rPr>
        <w:t>签订地点：</w:t>
      </w:r>
    </w:p>
    <w:p>
      <w:pPr>
        <w:pStyle w:val="7"/>
        <w:widowControl/>
        <w:spacing w:before="75" w:beforeAutospacing="0" w:after="75" w:afterAutospacing="0"/>
      </w:pPr>
      <w:r>
        <w:rPr>
          <w:rFonts w:hint="eastAsia" w:ascii="宋体" w:hAnsi="宋体" w:eastAsia="宋体" w:cs="宋体"/>
        </w:rPr>
        <w:t>签订日期：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7"/>
        <w:widowControl/>
        <w:spacing w:before="75" w:beforeAutospacing="0" w:after="75" w:afterAutospacing="0"/>
        <w:jc w:val="center"/>
      </w:pPr>
      <w:r>
        <w:t> </w:t>
      </w:r>
    </w:p>
    <w:p>
      <w:pPr>
        <w:pStyle w:val="7"/>
        <w:widowControl/>
        <w:spacing w:before="75" w:beforeAutospacing="0" w:after="240" w:afterAutospacing="0"/>
      </w:pPr>
      <w:r>
        <w:t> </w:t>
      </w:r>
    </w:p>
    <w:p>
      <w:pPr>
        <w:pStyle w:val="7"/>
        <w:widowControl/>
        <w:spacing w:before="75" w:beforeAutospacing="0" w:after="240" w:afterAutospacing="0"/>
      </w:pPr>
    </w:p>
    <w:p>
      <w:pPr>
        <w:pStyle w:val="7"/>
        <w:widowControl/>
        <w:spacing w:before="75" w:beforeAutospacing="0" w:after="240" w:afterAutospacing="0"/>
      </w:pPr>
    </w:p>
    <w:p>
      <w:pPr>
        <w:pStyle w:val="7"/>
        <w:widowControl/>
        <w:spacing w:before="75" w:beforeAutospacing="0" w:after="240" w:afterAutospacing="0"/>
      </w:pPr>
    </w:p>
    <w:p>
      <w:pPr>
        <w:pStyle w:val="7"/>
        <w:widowControl/>
        <w:spacing w:before="75" w:beforeAutospacing="0" w:after="240" w:afterAutospacing="0"/>
      </w:pPr>
    </w:p>
    <w:p>
      <w:pPr>
        <w:pStyle w:val="7"/>
        <w:widowControl/>
        <w:spacing w:before="75" w:beforeAutospacing="0" w:after="240" w:afterAutospacing="0"/>
      </w:pPr>
    </w:p>
    <w:p>
      <w:pPr>
        <w:pStyle w:val="7"/>
        <w:widowControl/>
        <w:spacing w:before="75" w:beforeAutospacing="0" w:after="240" w:afterAutospacing="0"/>
      </w:pPr>
    </w:p>
    <w:p>
      <w:pPr>
        <w:pStyle w:val="7"/>
        <w:widowControl/>
        <w:spacing w:before="75" w:beforeAutospacing="0" w:after="240" w:afterAutospacing="0"/>
      </w:pPr>
    </w:p>
    <w:p>
      <w:pPr>
        <w:pStyle w:val="7"/>
        <w:widowControl/>
        <w:spacing w:before="75" w:beforeAutospacing="0" w:after="240" w:afterAutospacing="0"/>
      </w:pPr>
    </w:p>
    <w:p>
      <w:pPr>
        <w:pStyle w:val="7"/>
        <w:widowControl/>
        <w:spacing w:before="75" w:beforeAutospacing="0" w:after="240" w:afterAutospacing="0"/>
      </w:pPr>
    </w:p>
    <w:p>
      <w:pPr>
        <w:pStyle w:val="7"/>
        <w:widowControl/>
        <w:spacing w:before="75" w:beforeAutospacing="0" w:after="75" w:afterAutospacing="0"/>
        <w:jc w:val="center"/>
      </w:pPr>
      <w:r>
        <w:rPr>
          <w:rStyle w:val="10"/>
          <w:rFonts w:hint="eastAsia" w:ascii="宋体" w:hAnsi="宋体" w:eastAsia="宋体" w:cs="宋体"/>
          <w:sz w:val="31"/>
          <w:szCs w:val="31"/>
        </w:rPr>
        <w:t>第七章   电子投标文件格式</w:t>
      </w:r>
    </w:p>
    <w:p>
      <w:pPr>
        <w:pStyle w:val="7"/>
        <w:widowControl/>
        <w:jc w:val="center"/>
      </w:pPr>
      <w:r>
        <w:rPr>
          <w:rStyle w:val="10"/>
          <w:rFonts w:hint="eastAsia" w:ascii="宋体" w:hAnsi="宋体" w:eastAsia="宋体" w:cs="宋体"/>
        </w:rPr>
        <w:t>编制说明</w:t>
      </w:r>
    </w:p>
    <w:p>
      <w:pPr>
        <w:pStyle w:val="7"/>
        <w:widowControl/>
        <w:ind w:firstLine="480"/>
      </w:pPr>
      <w:r>
        <w:rPr>
          <w:rFonts w:hint="eastAsia" w:ascii="宋体" w:hAnsi="宋体" w:eastAsia="宋体" w:cs="宋体"/>
        </w:rPr>
        <w:t>1、除招标文件另有规定外，本章中：</w:t>
      </w:r>
    </w:p>
    <w:p>
      <w:pPr>
        <w:pStyle w:val="7"/>
        <w:widowControl/>
        <w:ind w:firstLine="480"/>
      </w:pPr>
      <w:r>
        <w:rPr>
          <w:rFonts w:hint="eastAsia" w:ascii="宋体" w:hAnsi="宋体" w:eastAsia="宋体" w:cs="宋体"/>
        </w:rPr>
        <w:t>1.1涉及投标人的</w:t>
      </w:r>
      <w:r>
        <w:rPr>
          <w:rStyle w:val="10"/>
          <w:rFonts w:hint="eastAsia" w:ascii="宋体" w:hAnsi="宋体" w:eastAsia="宋体" w:cs="宋体"/>
        </w:rPr>
        <w:t>“全称”</w:t>
      </w:r>
      <w:r>
        <w:rPr>
          <w:rFonts w:hint="eastAsia" w:ascii="宋体" w:hAnsi="宋体" w:eastAsia="宋体" w:cs="宋体"/>
        </w:rPr>
        <w:t>：</w:t>
      </w:r>
    </w:p>
    <w:p>
      <w:pPr>
        <w:pStyle w:val="7"/>
        <w:widowControl/>
        <w:ind w:firstLine="480"/>
      </w:pPr>
      <w:r>
        <w:rPr>
          <w:rFonts w:hint="eastAsia" w:ascii="宋体" w:hAnsi="宋体" w:eastAsia="宋体" w:cs="宋体"/>
        </w:rPr>
        <w:t>（1）不接受联合体投标的，指</w:t>
      </w:r>
      <w:r>
        <w:rPr>
          <w:rStyle w:val="10"/>
          <w:rFonts w:hint="eastAsia" w:ascii="宋体" w:hAnsi="宋体" w:eastAsia="宋体" w:cs="宋体"/>
        </w:rPr>
        <w:t>投标人的全称</w:t>
      </w:r>
      <w:r>
        <w:rPr>
          <w:rFonts w:hint="eastAsia" w:ascii="宋体" w:hAnsi="宋体" w:eastAsia="宋体" w:cs="宋体"/>
        </w:rPr>
        <w:t>。</w:t>
      </w:r>
    </w:p>
    <w:p>
      <w:pPr>
        <w:pStyle w:val="7"/>
        <w:widowControl/>
        <w:ind w:firstLine="480"/>
      </w:pPr>
      <w:r>
        <w:rPr>
          <w:rFonts w:hint="eastAsia" w:ascii="宋体" w:hAnsi="宋体" w:eastAsia="宋体" w:cs="宋体"/>
        </w:rPr>
        <w:t>（2）接受联合体投标且投标人为联合体的，指</w:t>
      </w:r>
      <w:r>
        <w:rPr>
          <w:rStyle w:val="10"/>
          <w:rFonts w:hint="eastAsia" w:ascii="宋体" w:hAnsi="宋体" w:eastAsia="宋体" w:cs="宋体"/>
        </w:rPr>
        <w:t>牵头方的全称</w:t>
      </w:r>
      <w:r>
        <w:rPr>
          <w:rFonts w:hint="eastAsia" w:ascii="宋体" w:hAnsi="宋体" w:eastAsia="宋体" w:cs="宋体"/>
        </w:rPr>
        <w:t>并加注</w:t>
      </w:r>
      <w:r>
        <w:rPr>
          <w:rStyle w:val="10"/>
          <w:rFonts w:hint="eastAsia" w:ascii="宋体" w:hAnsi="宋体" w:eastAsia="宋体" w:cs="宋体"/>
        </w:rPr>
        <w:t>（联合体牵头方）</w:t>
      </w:r>
      <w:r>
        <w:rPr>
          <w:rFonts w:hint="eastAsia" w:ascii="宋体" w:hAnsi="宋体" w:eastAsia="宋体" w:cs="宋体"/>
        </w:rPr>
        <w:t>，即应表述为：</w:t>
      </w:r>
      <w:r>
        <w:rPr>
          <w:rStyle w:val="10"/>
          <w:rFonts w:hint="eastAsia" w:ascii="宋体" w:hAnsi="宋体" w:eastAsia="宋体" w:cs="宋体"/>
        </w:rPr>
        <w:t>“牵头方的全称（联合体牵头方）”</w:t>
      </w:r>
      <w:r>
        <w:rPr>
          <w:rFonts w:hint="eastAsia" w:ascii="宋体" w:hAnsi="宋体" w:eastAsia="宋体" w:cs="宋体"/>
        </w:rPr>
        <w:t>。</w:t>
      </w:r>
    </w:p>
    <w:p>
      <w:pPr>
        <w:pStyle w:val="7"/>
        <w:widowControl/>
        <w:ind w:firstLine="480"/>
      </w:pPr>
      <w:r>
        <w:rPr>
          <w:rFonts w:hint="eastAsia" w:ascii="宋体" w:hAnsi="宋体" w:eastAsia="宋体" w:cs="宋体"/>
        </w:rPr>
        <w:t>1.2涉及投标人</w:t>
      </w:r>
      <w:r>
        <w:rPr>
          <w:rStyle w:val="10"/>
          <w:rFonts w:hint="eastAsia" w:ascii="宋体" w:hAnsi="宋体" w:eastAsia="宋体" w:cs="宋体"/>
        </w:rPr>
        <w:t>“加盖单位公章”</w:t>
      </w:r>
      <w:r>
        <w:rPr>
          <w:rFonts w:hint="eastAsia" w:ascii="宋体" w:hAnsi="宋体" w:eastAsia="宋体" w:cs="宋体"/>
        </w:rPr>
        <w:t>：</w:t>
      </w:r>
    </w:p>
    <w:p>
      <w:pPr>
        <w:pStyle w:val="7"/>
        <w:widowControl/>
        <w:ind w:firstLine="480"/>
      </w:pPr>
      <w:r>
        <w:rPr>
          <w:rFonts w:hint="eastAsia" w:ascii="宋体" w:hAnsi="宋体" w:eastAsia="宋体" w:cs="宋体"/>
        </w:rPr>
        <w:t>（1）不接受联合体投标的，指</w:t>
      </w:r>
      <w:r>
        <w:rPr>
          <w:rStyle w:val="10"/>
          <w:rFonts w:hint="eastAsia" w:ascii="宋体" w:hAnsi="宋体" w:eastAsia="宋体" w:cs="宋体"/>
        </w:rPr>
        <w:t>加盖投标人的单位公章</w:t>
      </w:r>
      <w:r>
        <w:rPr>
          <w:rFonts w:hint="eastAsia" w:ascii="宋体" w:hAnsi="宋体" w:eastAsia="宋体" w:cs="宋体"/>
        </w:rPr>
        <w:t>。</w:t>
      </w:r>
    </w:p>
    <w:p>
      <w:pPr>
        <w:pStyle w:val="7"/>
        <w:widowControl/>
        <w:ind w:firstLine="480"/>
      </w:pPr>
      <w:r>
        <w:rPr>
          <w:rFonts w:hint="eastAsia" w:ascii="宋体" w:hAnsi="宋体" w:eastAsia="宋体" w:cs="宋体"/>
        </w:rPr>
        <w:t>（2）接受联合体投标且投标人为联合体的，指</w:t>
      </w:r>
      <w:r>
        <w:rPr>
          <w:rStyle w:val="10"/>
          <w:rFonts w:hint="eastAsia" w:ascii="宋体" w:hAnsi="宋体" w:eastAsia="宋体" w:cs="宋体"/>
        </w:rPr>
        <w:t>加盖联合体牵头方的单位公章</w:t>
      </w:r>
      <w:r>
        <w:rPr>
          <w:rFonts w:hint="eastAsia" w:ascii="宋体" w:hAnsi="宋体" w:eastAsia="宋体" w:cs="宋体"/>
        </w:rPr>
        <w:t>。</w:t>
      </w:r>
    </w:p>
    <w:p>
      <w:pPr>
        <w:pStyle w:val="7"/>
        <w:widowControl/>
        <w:ind w:firstLine="480"/>
      </w:pPr>
      <w:r>
        <w:rPr>
          <w:rFonts w:hint="eastAsia" w:ascii="宋体" w:hAnsi="宋体" w:eastAsia="宋体" w:cs="宋体"/>
        </w:rPr>
        <w:t>1.3涉及</w:t>
      </w:r>
      <w:r>
        <w:rPr>
          <w:rStyle w:val="10"/>
          <w:rFonts w:hint="eastAsia" w:ascii="宋体" w:hAnsi="宋体" w:eastAsia="宋体" w:cs="宋体"/>
        </w:rPr>
        <w:t>“投标人代表签字”</w:t>
      </w:r>
      <w:r>
        <w:rPr>
          <w:rFonts w:hint="eastAsia" w:ascii="宋体" w:hAnsi="宋体" w:eastAsia="宋体" w:cs="宋体"/>
        </w:rPr>
        <w:t>：</w:t>
      </w:r>
    </w:p>
    <w:p>
      <w:pPr>
        <w:pStyle w:val="7"/>
        <w:widowControl/>
        <w:ind w:firstLine="480"/>
      </w:pPr>
      <w:r>
        <w:rPr>
          <w:rFonts w:hint="eastAsia" w:ascii="宋体" w:hAnsi="宋体" w:eastAsia="宋体" w:cs="宋体"/>
        </w:rPr>
        <w:t>（1）不接受联合体投标的，指由</w:t>
      </w:r>
      <w:r>
        <w:rPr>
          <w:rStyle w:val="10"/>
          <w:rFonts w:hint="eastAsia" w:ascii="宋体" w:hAnsi="宋体" w:eastAsia="宋体" w:cs="宋体"/>
        </w:rPr>
        <w:t>投标人的单位负责人或其授权的委托代理人签字</w:t>
      </w:r>
      <w:r>
        <w:rPr>
          <w:rFonts w:hint="eastAsia" w:ascii="宋体" w:hAnsi="宋体" w:eastAsia="宋体" w:cs="宋体"/>
        </w:rPr>
        <w:t>，由委托代理人签字的，应提供“单位授权书”。</w:t>
      </w:r>
    </w:p>
    <w:p>
      <w:pPr>
        <w:pStyle w:val="7"/>
        <w:widowControl/>
        <w:ind w:firstLine="480"/>
      </w:pPr>
      <w:r>
        <w:rPr>
          <w:rFonts w:hint="eastAsia" w:ascii="宋体" w:hAnsi="宋体" w:eastAsia="宋体" w:cs="宋体"/>
        </w:rPr>
        <w:t>（2）接受联合体投标且投标人为联合体的，指由</w:t>
      </w:r>
      <w:r>
        <w:rPr>
          <w:rStyle w:val="10"/>
          <w:rFonts w:hint="eastAsia" w:ascii="宋体" w:hAnsi="宋体" w:eastAsia="宋体" w:cs="宋体"/>
        </w:rPr>
        <w:t>联合体牵头方的单位负责人或其授权的委托代理人签字</w:t>
      </w:r>
      <w:r>
        <w:rPr>
          <w:rFonts w:hint="eastAsia" w:ascii="宋体" w:hAnsi="宋体" w:eastAsia="宋体" w:cs="宋体"/>
        </w:rPr>
        <w:t>，由委托代理人签字的，应提供“单位授权书”。</w:t>
      </w:r>
    </w:p>
    <w:p>
      <w:pPr>
        <w:pStyle w:val="7"/>
        <w:widowControl/>
        <w:ind w:firstLine="480"/>
      </w:pPr>
      <w:r>
        <w:rPr>
          <w:rFonts w:hint="eastAsia" w:ascii="宋体" w:hAnsi="宋体" w:eastAsia="宋体" w:cs="宋体"/>
        </w:rPr>
        <w:t>1.4</w:t>
      </w:r>
      <w:r>
        <w:rPr>
          <w:rStyle w:val="10"/>
          <w:rFonts w:hint="eastAsia" w:ascii="宋体" w:hAnsi="宋体" w:eastAsia="宋体" w:cs="宋体"/>
        </w:rPr>
        <w:t>“其他组织”</w:t>
      </w:r>
      <w:r>
        <w:rPr>
          <w:rFonts w:hint="eastAsia" w:ascii="宋体" w:hAnsi="宋体" w:eastAsia="宋体" w:cs="宋体"/>
        </w:rPr>
        <w:t>指合伙企业、非企业专业服务机构、个体工商户、农村承包经营户等。</w:t>
      </w:r>
    </w:p>
    <w:p>
      <w:pPr>
        <w:pStyle w:val="7"/>
        <w:widowControl/>
        <w:ind w:firstLine="480"/>
      </w:pPr>
      <w:r>
        <w:rPr>
          <w:rFonts w:hint="eastAsia" w:ascii="宋体" w:hAnsi="宋体" w:eastAsia="宋体" w:cs="宋体"/>
        </w:rPr>
        <w:t>1.5</w:t>
      </w:r>
      <w:r>
        <w:rPr>
          <w:rStyle w:val="10"/>
          <w:rFonts w:hint="eastAsia" w:ascii="宋体" w:hAnsi="宋体" w:eastAsia="宋体" w:cs="宋体"/>
        </w:rPr>
        <w:t>“自然人”</w:t>
      </w:r>
      <w:r>
        <w:rPr>
          <w:rFonts w:hint="eastAsia" w:ascii="宋体" w:hAnsi="宋体" w:eastAsia="宋体" w:cs="宋体"/>
        </w:rPr>
        <w:t>指具有完全民事行为能力、能够承担民事责任和义务的中国公民。</w:t>
      </w:r>
    </w:p>
    <w:p>
      <w:pPr>
        <w:pStyle w:val="7"/>
        <w:widowControl/>
        <w:ind w:firstLine="480"/>
      </w:pPr>
      <w:r>
        <w:rPr>
          <w:rFonts w:hint="eastAsia" w:ascii="宋体" w:hAnsi="宋体" w:eastAsia="宋体" w:cs="宋体"/>
        </w:rPr>
        <w:t>2、除招标文件另有规定外，本章中</w:t>
      </w:r>
      <w:r>
        <w:rPr>
          <w:rStyle w:val="10"/>
          <w:rFonts w:hint="eastAsia" w:ascii="宋体" w:hAnsi="宋体" w:eastAsia="宋体" w:cs="宋体"/>
        </w:rPr>
        <w:t>“投标人的资格及资信证明文件”</w:t>
      </w:r>
      <w:r>
        <w:rPr>
          <w:rFonts w:hint="eastAsia" w:ascii="宋体" w:hAnsi="宋体" w:eastAsia="宋体" w:cs="宋体"/>
        </w:rPr>
        <w:t>：</w:t>
      </w:r>
    </w:p>
    <w:p>
      <w:pPr>
        <w:pStyle w:val="7"/>
        <w:widowControl/>
        <w:ind w:firstLine="480"/>
      </w:pPr>
      <w:r>
        <w:rPr>
          <w:rFonts w:hint="eastAsia" w:ascii="宋体" w:hAnsi="宋体" w:eastAsia="宋体" w:cs="宋体"/>
        </w:rPr>
        <w:t>2.1投标人应按照招标文件第四章第</w:t>
      </w:r>
      <w:r>
        <w:rPr>
          <w:rFonts w:ascii="Calibri" w:hAnsi="Calibri" w:eastAsia="宋体" w:cs="Calibri"/>
        </w:rPr>
        <w:t>1.3</w:t>
      </w:r>
      <w:r>
        <w:rPr>
          <w:rFonts w:hint="eastAsia" w:ascii="宋体" w:hAnsi="宋体" w:eastAsia="宋体" w:cs="宋体"/>
        </w:rPr>
        <w:t>条第（</w:t>
      </w:r>
      <w:r>
        <w:rPr>
          <w:rFonts w:ascii="Calibri" w:hAnsi="Calibri" w:eastAsia="宋体" w:cs="Calibri"/>
        </w:rPr>
        <w:t>2</w:t>
      </w:r>
      <w:r>
        <w:rPr>
          <w:rFonts w:hint="eastAsia" w:ascii="宋体" w:hAnsi="宋体" w:eastAsia="宋体" w:cs="宋体"/>
        </w:rPr>
        <w:t>）款规定及本章规定进行编制，如有必要，可增加附页，附页作为资格及资信文件的组成部分。</w:t>
      </w:r>
    </w:p>
    <w:p>
      <w:pPr>
        <w:pStyle w:val="7"/>
        <w:widowControl/>
        <w:ind w:firstLine="480"/>
      </w:pPr>
      <w:r>
        <w:rPr>
          <w:rFonts w:hint="eastAsia" w:ascii="宋体" w:hAnsi="宋体" w:eastAsia="宋体" w:cs="宋体"/>
        </w:rPr>
        <w:t>2.2接受联合体投标且投标人为联合体的，联合体中的各方均应按照本章第</w:t>
      </w:r>
      <w:r>
        <w:rPr>
          <w:rFonts w:ascii="Calibri" w:hAnsi="Calibri" w:eastAsia="宋体" w:cs="Calibri"/>
        </w:rPr>
        <w:t>2.1</w:t>
      </w:r>
      <w:r>
        <w:rPr>
          <w:rFonts w:hint="eastAsia" w:ascii="宋体" w:hAnsi="宋体" w:eastAsia="宋体" w:cs="宋体"/>
        </w:rPr>
        <w:t>条规定提交相应的全部资料。</w:t>
      </w:r>
    </w:p>
    <w:p>
      <w:pPr>
        <w:pStyle w:val="7"/>
        <w:widowControl/>
        <w:ind w:firstLine="480"/>
      </w:pPr>
      <w:r>
        <w:rPr>
          <w:rFonts w:hint="eastAsia" w:ascii="宋体" w:hAnsi="宋体" w:eastAsia="宋体" w:cs="宋体"/>
        </w:rPr>
        <w:t>3、投标人对电子投标文件的索引应编制页码。</w:t>
      </w:r>
    </w:p>
    <w:p>
      <w:pPr>
        <w:pStyle w:val="7"/>
        <w:widowControl/>
        <w:ind w:firstLine="480"/>
      </w:pPr>
      <w:r>
        <w:rPr>
          <w:rFonts w:hint="eastAsia" w:ascii="宋体" w:hAnsi="宋体" w:eastAsia="宋体" w:cs="宋体"/>
        </w:rPr>
        <w:t>4、本章提供格式仅供参考，投标人应根据自身实际情况制作电子投标文件。</w:t>
      </w:r>
    </w:p>
    <w:p>
      <w:pPr>
        <w:pStyle w:val="7"/>
        <w:widowControl/>
      </w:pPr>
      <w:r>
        <w:rPr>
          <w:rFonts w:hint="eastAsia" w:ascii="宋体" w:hAnsi="宋体" w:eastAsia="宋体" w:cs="宋体"/>
          <w:sz w:val="21"/>
          <w:szCs w:val="21"/>
        </w:rPr>
        <w:t> </w:t>
      </w:r>
    </w:p>
    <w:p>
      <w:pPr>
        <w:pStyle w:val="7"/>
        <w:widowControl/>
        <w:jc w:val="center"/>
      </w:pPr>
      <w:r>
        <w:rPr>
          <w:rStyle w:val="10"/>
          <w:rFonts w:hint="eastAsia" w:ascii="宋体" w:hAnsi="宋体" w:eastAsia="宋体" w:cs="宋体"/>
          <w:sz w:val="28"/>
          <w:szCs w:val="28"/>
        </w:rPr>
        <w:t>封面格式</w:t>
      </w:r>
    </w:p>
    <w:p>
      <w:pPr>
        <w:pStyle w:val="7"/>
        <w:widowControl/>
      </w:pPr>
      <w:r>
        <w:rPr>
          <w:rFonts w:hint="eastAsia" w:ascii="宋体" w:hAnsi="宋体" w:eastAsia="宋体" w:cs="宋体"/>
          <w:sz w:val="36"/>
          <w:szCs w:val="36"/>
        </w:rPr>
        <w:t> </w:t>
      </w:r>
    </w:p>
    <w:p>
      <w:pPr>
        <w:pStyle w:val="7"/>
        <w:widowControl/>
        <w:jc w:val="center"/>
      </w:pPr>
      <w:r>
        <w:rPr>
          <w:rStyle w:val="10"/>
          <w:rFonts w:hint="eastAsia" w:ascii="宋体" w:hAnsi="宋体" w:eastAsia="宋体" w:cs="宋体"/>
          <w:sz w:val="48"/>
          <w:szCs w:val="48"/>
        </w:rPr>
        <w:t>福建省政府采购投标文件</w:t>
      </w:r>
    </w:p>
    <w:p>
      <w:pPr>
        <w:pStyle w:val="7"/>
        <w:widowControl/>
        <w:jc w:val="center"/>
      </w:pPr>
      <w:r>
        <w:rPr>
          <w:rStyle w:val="10"/>
          <w:rFonts w:hint="eastAsia" w:ascii="宋体" w:hAnsi="宋体" w:eastAsia="宋体" w:cs="宋体"/>
          <w:sz w:val="48"/>
          <w:szCs w:val="48"/>
        </w:rPr>
        <w:t>（资格及资信证明部分）</w:t>
      </w:r>
    </w:p>
    <w:p>
      <w:pPr>
        <w:pStyle w:val="7"/>
        <w:widowControl/>
      </w:pPr>
      <w:r>
        <w:rPr>
          <w:rFonts w:hint="eastAsia" w:ascii="宋体" w:hAnsi="宋体" w:eastAsia="宋体" w:cs="宋体"/>
          <w:sz w:val="36"/>
          <w:szCs w:val="36"/>
        </w:rPr>
        <w:t> </w:t>
      </w:r>
    </w:p>
    <w:p>
      <w:pPr>
        <w:pStyle w:val="7"/>
        <w:widowControl/>
        <w:jc w:val="center"/>
      </w:pPr>
      <w:r>
        <w:rPr>
          <w:rStyle w:val="10"/>
          <w:rFonts w:hint="eastAsia" w:ascii="宋体" w:hAnsi="宋体" w:eastAsia="宋体" w:cs="宋体"/>
          <w:sz w:val="36"/>
          <w:szCs w:val="36"/>
          <w:u w:val="single"/>
        </w:rPr>
        <w:t>（填写正本或副本）</w:t>
      </w:r>
    </w:p>
    <w:p>
      <w:pPr>
        <w:pStyle w:val="7"/>
        <w:widowControl/>
      </w:pPr>
      <w:r>
        <w:rPr>
          <w:rFonts w:hint="eastAsia" w:ascii="宋体" w:hAnsi="宋体" w:eastAsia="宋体" w:cs="宋体"/>
          <w:sz w:val="36"/>
          <w:szCs w:val="36"/>
        </w:rPr>
        <w:t> </w:t>
      </w:r>
    </w:p>
    <w:p>
      <w:pPr>
        <w:pStyle w:val="7"/>
        <w:widowControl/>
        <w:ind w:firstLine="1920"/>
      </w:pPr>
      <w:r>
        <w:rPr>
          <w:rStyle w:val="10"/>
          <w:rFonts w:hint="eastAsia" w:ascii="宋体" w:hAnsi="宋体" w:eastAsia="宋体" w:cs="宋体"/>
          <w:sz w:val="31"/>
          <w:szCs w:val="31"/>
        </w:rPr>
        <w:t>项目名称：</w:t>
      </w:r>
      <w:r>
        <w:rPr>
          <w:rStyle w:val="10"/>
          <w:rFonts w:hint="eastAsia" w:ascii="宋体" w:hAnsi="宋体" w:eastAsia="宋体" w:cs="宋体"/>
          <w:sz w:val="31"/>
          <w:szCs w:val="31"/>
          <w:u w:val="single"/>
        </w:rPr>
        <w:t>（由投标人填写）</w:t>
      </w:r>
    </w:p>
    <w:p>
      <w:pPr>
        <w:pStyle w:val="7"/>
        <w:widowControl/>
        <w:ind w:firstLine="1920"/>
      </w:pPr>
      <w:r>
        <w:rPr>
          <w:rStyle w:val="10"/>
          <w:rFonts w:hint="eastAsia" w:ascii="宋体" w:hAnsi="宋体" w:eastAsia="宋体" w:cs="宋体"/>
          <w:sz w:val="31"/>
          <w:szCs w:val="31"/>
        </w:rPr>
        <w:t>备案编号：</w:t>
      </w:r>
      <w:r>
        <w:rPr>
          <w:rStyle w:val="10"/>
          <w:rFonts w:hint="eastAsia" w:ascii="宋体" w:hAnsi="宋体" w:eastAsia="宋体" w:cs="宋体"/>
          <w:sz w:val="31"/>
          <w:szCs w:val="31"/>
          <w:u w:val="single"/>
        </w:rPr>
        <w:t>（由投标人填写）</w:t>
      </w:r>
    </w:p>
    <w:p>
      <w:pPr>
        <w:pStyle w:val="7"/>
        <w:widowControl/>
        <w:ind w:firstLine="1920"/>
      </w:pPr>
      <w:r>
        <w:rPr>
          <w:rStyle w:val="10"/>
          <w:rFonts w:hint="eastAsia" w:ascii="宋体" w:hAnsi="宋体" w:eastAsia="宋体" w:cs="宋体"/>
          <w:sz w:val="31"/>
          <w:szCs w:val="31"/>
        </w:rPr>
        <w:t>项目编号：</w:t>
      </w:r>
      <w:r>
        <w:rPr>
          <w:rStyle w:val="10"/>
          <w:rFonts w:hint="eastAsia" w:ascii="宋体" w:hAnsi="宋体" w:eastAsia="宋体" w:cs="宋体"/>
          <w:sz w:val="31"/>
          <w:szCs w:val="31"/>
          <w:u w:val="single"/>
        </w:rPr>
        <w:t>（由投标人填写）</w:t>
      </w:r>
    </w:p>
    <w:p>
      <w:pPr>
        <w:pStyle w:val="7"/>
        <w:widowControl/>
        <w:ind w:firstLine="1920"/>
      </w:pPr>
      <w:r>
        <w:rPr>
          <w:rStyle w:val="10"/>
          <w:rFonts w:hint="eastAsia" w:ascii="宋体" w:hAnsi="宋体" w:eastAsia="宋体" w:cs="宋体"/>
          <w:sz w:val="31"/>
          <w:szCs w:val="31"/>
        </w:rPr>
        <w:t>所投采购包：</w:t>
      </w:r>
      <w:r>
        <w:rPr>
          <w:rStyle w:val="10"/>
          <w:rFonts w:hint="eastAsia" w:ascii="宋体" w:hAnsi="宋体" w:eastAsia="宋体" w:cs="宋体"/>
          <w:sz w:val="31"/>
          <w:szCs w:val="31"/>
          <w:u w:val="single"/>
        </w:rPr>
        <w:t>（由投标人填写）</w:t>
      </w:r>
    </w:p>
    <w:p>
      <w:pPr>
        <w:pStyle w:val="7"/>
        <w:widowControl/>
      </w:pPr>
      <w:r>
        <w:rPr>
          <w:rFonts w:hint="eastAsia" w:ascii="宋体" w:hAnsi="宋体" w:eastAsia="宋体" w:cs="宋体"/>
          <w:sz w:val="36"/>
          <w:szCs w:val="36"/>
        </w:rPr>
        <w:t> </w:t>
      </w:r>
    </w:p>
    <w:p>
      <w:pPr>
        <w:pStyle w:val="7"/>
        <w:widowControl/>
        <w:jc w:val="center"/>
      </w:pPr>
      <w:r>
        <w:rPr>
          <w:rStyle w:val="10"/>
          <w:rFonts w:hint="eastAsia" w:ascii="宋体" w:hAnsi="宋体" w:eastAsia="宋体" w:cs="宋体"/>
          <w:sz w:val="31"/>
          <w:szCs w:val="31"/>
        </w:rPr>
        <w:t>投标人：</w:t>
      </w:r>
      <w:r>
        <w:rPr>
          <w:rStyle w:val="10"/>
          <w:rFonts w:hint="eastAsia" w:ascii="宋体" w:hAnsi="宋体" w:eastAsia="宋体" w:cs="宋体"/>
          <w:sz w:val="31"/>
          <w:szCs w:val="31"/>
          <w:u w:val="single"/>
        </w:rPr>
        <w:t>（填写“全称”）</w:t>
      </w:r>
    </w:p>
    <w:p>
      <w:pPr>
        <w:pStyle w:val="7"/>
        <w:widowControl/>
        <w:jc w:val="center"/>
      </w:pPr>
      <w:r>
        <w:rPr>
          <w:rStyle w:val="10"/>
          <w:rFonts w:hint="eastAsia" w:ascii="宋体" w:hAnsi="宋体" w:eastAsia="宋体" w:cs="宋体"/>
          <w:sz w:val="31"/>
          <w:szCs w:val="31"/>
          <w:u w:val="single"/>
        </w:rPr>
        <w:t>（由投标人填写）</w:t>
      </w:r>
      <w:r>
        <w:rPr>
          <w:rStyle w:val="10"/>
          <w:rFonts w:hint="eastAsia" w:ascii="宋体" w:hAnsi="宋体" w:eastAsia="宋体" w:cs="宋体"/>
          <w:sz w:val="31"/>
          <w:szCs w:val="31"/>
        </w:rPr>
        <w:t>年</w:t>
      </w:r>
      <w:r>
        <w:rPr>
          <w:rStyle w:val="10"/>
          <w:rFonts w:hint="eastAsia" w:ascii="宋体" w:hAnsi="宋体" w:eastAsia="宋体" w:cs="宋体"/>
          <w:sz w:val="31"/>
          <w:szCs w:val="31"/>
          <w:u w:val="single"/>
        </w:rPr>
        <w:t>（由投标人填写）</w:t>
      </w:r>
      <w:r>
        <w:rPr>
          <w:rStyle w:val="10"/>
          <w:rFonts w:hint="eastAsia" w:ascii="宋体" w:hAnsi="宋体" w:eastAsia="宋体" w:cs="宋体"/>
          <w:sz w:val="31"/>
          <w:szCs w:val="31"/>
        </w:rPr>
        <w:t>月</w:t>
      </w:r>
    </w:p>
    <w:p>
      <w:pPr>
        <w:pStyle w:val="7"/>
        <w:widowControl/>
      </w:pPr>
      <w:r>
        <w:rPr>
          <w:rFonts w:hint="eastAsia" w:ascii="宋体" w:hAnsi="宋体" w:eastAsia="宋体" w:cs="宋体"/>
          <w:sz w:val="21"/>
          <w:szCs w:val="21"/>
        </w:rPr>
        <w:t> </w:t>
      </w:r>
    </w:p>
    <w:p>
      <w:pPr>
        <w:pStyle w:val="7"/>
        <w:widowControl/>
        <w:jc w:val="center"/>
      </w:pPr>
      <w:r>
        <w:rPr>
          <w:rFonts w:ascii="Calibri" w:hAnsi="Calibri" w:cs="Calibri"/>
          <w:sz w:val="21"/>
          <w:szCs w:val="21"/>
        </w:rPr>
        <w:br w:type="textWrapping"/>
      </w:r>
      <w:r>
        <w:rPr>
          <w:rStyle w:val="10"/>
          <w:rFonts w:hint="eastAsia" w:ascii="宋体" w:hAnsi="宋体" w:eastAsia="宋体" w:cs="宋体"/>
          <w:sz w:val="28"/>
          <w:szCs w:val="28"/>
        </w:rPr>
        <w:t>索引</w:t>
      </w:r>
    </w:p>
    <w:p>
      <w:pPr>
        <w:pStyle w:val="7"/>
        <w:widowControl/>
      </w:pPr>
      <w:r>
        <w:rPr>
          <w:rFonts w:hint="eastAsia" w:ascii="宋体" w:hAnsi="宋体" w:eastAsia="宋体" w:cs="宋体"/>
          <w:sz w:val="28"/>
          <w:szCs w:val="28"/>
        </w:rPr>
        <w:t>一、投标函</w:t>
      </w:r>
    </w:p>
    <w:p>
      <w:pPr>
        <w:pStyle w:val="7"/>
        <w:widowControl/>
      </w:pPr>
      <w:r>
        <w:rPr>
          <w:rFonts w:hint="eastAsia" w:ascii="宋体" w:hAnsi="宋体" w:eastAsia="宋体" w:cs="宋体"/>
          <w:sz w:val="28"/>
          <w:szCs w:val="28"/>
        </w:rPr>
        <w:t>二、投标人的资格及资信证明文件</w:t>
      </w:r>
    </w:p>
    <w:p>
      <w:pPr>
        <w:pStyle w:val="7"/>
        <w:widowControl/>
      </w:pPr>
      <w:r>
        <w:rPr>
          <w:rFonts w:hint="eastAsia" w:ascii="宋体" w:hAnsi="宋体" w:eastAsia="宋体" w:cs="宋体"/>
          <w:sz w:val="28"/>
          <w:szCs w:val="28"/>
        </w:rPr>
        <w:t>三、投标保证金</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 </w:t>
      </w:r>
    </w:p>
    <w:p>
      <w:pPr>
        <w:pStyle w:val="7"/>
        <w:widowControl/>
        <w:jc w:val="center"/>
      </w:pPr>
      <w:r>
        <w:rPr>
          <w:rFonts w:hint="eastAsia" w:ascii="宋体" w:hAnsi="宋体" w:eastAsia="宋体" w:cs="宋体"/>
          <w:sz w:val="21"/>
          <w:szCs w:val="21"/>
        </w:rPr>
        <w:t>※注意</w:t>
      </w:r>
    </w:p>
    <w:p>
      <w:pPr>
        <w:pStyle w:val="7"/>
        <w:widowControl/>
        <w:ind w:firstLine="420"/>
      </w:pPr>
      <w:r>
        <w:rPr>
          <w:rFonts w:hint="eastAsia" w:ascii="宋体" w:hAnsi="宋体" w:eastAsia="宋体" w:cs="宋体"/>
          <w:sz w:val="21"/>
          <w:szCs w:val="21"/>
        </w:rPr>
        <w:t>资格及资信证明部分中不得出现报价部分的全部或部分的投标报价信息（或组成资料），否则</w:t>
      </w:r>
      <w:r>
        <w:rPr>
          <w:rStyle w:val="10"/>
          <w:rFonts w:hint="eastAsia" w:ascii="宋体" w:hAnsi="宋体" w:eastAsia="宋体" w:cs="宋体"/>
          <w:sz w:val="21"/>
          <w:szCs w:val="21"/>
        </w:rPr>
        <w:t>资格审查不合格</w:t>
      </w:r>
      <w:r>
        <w:rPr>
          <w:rFonts w:hint="eastAsia" w:ascii="宋体" w:hAnsi="宋体" w:eastAsia="宋体" w:cs="宋体"/>
          <w:sz w:val="21"/>
          <w:szCs w:val="21"/>
        </w:rPr>
        <w:t>。（联合体协议及分包意向协议中的比例规定，不适用本条款）</w:t>
      </w:r>
    </w:p>
    <w:p>
      <w:pPr>
        <w:pStyle w:val="7"/>
        <w:widowControl/>
      </w:pPr>
    </w:p>
    <w:p>
      <w:pPr>
        <w:pStyle w:val="7"/>
        <w:widowControl/>
      </w:pPr>
    </w:p>
    <w:p>
      <w:pPr>
        <w:pStyle w:val="7"/>
        <w:widowControl/>
      </w:pPr>
    </w:p>
    <w:p>
      <w:pPr>
        <w:pStyle w:val="7"/>
        <w:widowControl/>
      </w:pPr>
    </w:p>
    <w:p>
      <w:pPr>
        <w:pStyle w:val="7"/>
        <w:widowControl/>
      </w:pPr>
    </w:p>
    <w:p>
      <w:pPr>
        <w:pStyle w:val="7"/>
        <w:widowControl/>
      </w:pPr>
    </w:p>
    <w:p>
      <w:pPr>
        <w:pStyle w:val="7"/>
        <w:widowControl/>
      </w:pPr>
    </w:p>
    <w:p>
      <w:pPr>
        <w:pStyle w:val="7"/>
        <w:widowControl/>
      </w:pPr>
    </w:p>
    <w:p>
      <w:pPr>
        <w:pStyle w:val="7"/>
        <w:widowControl/>
      </w:pPr>
    </w:p>
    <w:p>
      <w:pPr>
        <w:pStyle w:val="7"/>
        <w:widowControl/>
      </w:pPr>
    </w:p>
    <w:p>
      <w:pPr>
        <w:pStyle w:val="7"/>
        <w:widowControl/>
      </w:pPr>
    </w:p>
    <w:p>
      <w:pPr>
        <w:pStyle w:val="7"/>
        <w:widowControl/>
        <w:jc w:val="center"/>
      </w:pPr>
      <w:r>
        <w:rPr>
          <w:rFonts w:ascii="Calibri" w:hAnsi="Calibri" w:cs="Calibri"/>
          <w:sz w:val="21"/>
          <w:szCs w:val="21"/>
        </w:rPr>
        <w:br w:type="textWrapping"/>
      </w:r>
      <w:r>
        <w:rPr>
          <w:rStyle w:val="10"/>
          <w:rFonts w:hint="eastAsia" w:ascii="宋体" w:hAnsi="宋体" w:eastAsia="宋体" w:cs="宋体"/>
          <w:sz w:val="21"/>
          <w:szCs w:val="21"/>
        </w:rPr>
        <w:t>一、投标函</w:t>
      </w:r>
    </w:p>
    <w:p>
      <w:pPr>
        <w:pStyle w:val="7"/>
        <w:widowControl/>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w:t>
      </w:r>
    </w:p>
    <w:p>
      <w:pPr>
        <w:pStyle w:val="7"/>
        <w:widowControl/>
        <w:ind w:firstLine="420"/>
      </w:pPr>
      <w:r>
        <w:rPr>
          <w:rFonts w:hint="eastAsia" w:ascii="宋体" w:hAnsi="宋体" w:eastAsia="宋体" w:cs="宋体"/>
          <w:sz w:val="21"/>
          <w:szCs w:val="21"/>
        </w:rPr>
        <w:t>兹收到贵单位关于</w:t>
      </w:r>
      <w:r>
        <w:rPr>
          <w:rFonts w:hint="eastAsia" w:ascii="宋体" w:hAnsi="宋体" w:eastAsia="宋体" w:cs="宋体"/>
          <w:sz w:val="21"/>
          <w:szCs w:val="21"/>
          <w:u w:val="single"/>
        </w:rPr>
        <w:t>（填写“项目名称”）</w:t>
      </w:r>
      <w:r>
        <w:rPr>
          <w:rFonts w:hint="eastAsia" w:ascii="宋体" w:hAnsi="宋体" w:eastAsia="宋体" w:cs="宋体"/>
          <w:sz w:val="21"/>
          <w:szCs w:val="21"/>
        </w:rPr>
        <w:t>项目（项目编号：</w:t>
      </w:r>
      <w:r>
        <w:rPr>
          <w:rFonts w:hint="eastAsia" w:ascii="宋体" w:hAnsi="宋体" w:eastAsia="宋体" w:cs="宋体"/>
          <w:sz w:val="21"/>
          <w:szCs w:val="21"/>
          <w:u w:val="single"/>
        </w:rPr>
        <w:t>     </w:t>
      </w:r>
      <w:r>
        <w:rPr>
          <w:rFonts w:hint="eastAsia" w:ascii="宋体" w:hAnsi="宋体" w:eastAsia="宋体" w:cs="宋体"/>
          <w:sz w:val="21"/>
          <w:szCs w:val="21"/>
        </w:rPr>
        <w:t>）的投标邀请，本投标人代表</w:t>
      </w:r>
      <w:r>
        <w:rPr>
          <w:rFonts w:hint="eastAsia" w:ascii="宋体" w:hAnsi="宋体" w:eastAsia="宋体" w:cs="宋体"/>
          <w:sz w:val="21"/>
          <w:szCs w:val="21"/>
          <w:u w:val="single"/>
        </w:rPr>
        <w:t>（填写“全名”）</w:t>
      </w:r>
      <w:r>
        <w:rPr>
          <w:rFonts w:hint="eastAsia" w:ascii="宋体" w:hAnsi="宋体" w:eastAsia="宋体" w:cs="宋体"/>
          <w:sz w:val="21"/>
          <w:szCs w:val="21"/>
        </w:rPr>
        <w:t>已获得我方正式授权并代表投标人</w:t>
      </w:r>
      <w:r>
        <w:rPr>
          <w:rFonts w:hint="eastAsia" w:ascii="宋体" w:hAnsi="宋体" w:eastAsia="宋体" w:cs="宋体"/>
          <w:sz w:val="21"/>
          <w:szCs w:val="21"/>
          <w:u w:val="single"/>
        </w:rPr>
        <w:t>（填写“全称”）</w:t>
      </w:r>
      <w:r>
        <w:rPr>
          <w:rFonts w:hint="eastAsia" w:ascii="宋体" w:hAnsi="宋体" w:eastAsia="宋体" w:cs="宋体"/>
          <w:sz w:val="21"/>
          <w:szCs w:val="21"/>
        </w:rPr>
        <w:t>参加投标，并提交电子投标文件。我方提交的全部电子投标文件由下述部分组成：</w:t>
      </w:r>
    </w:p>
    <w:p>
      <w:pPr>
        <w:pStyle w:val="7"/>
        <w:widowControl/>
        <w:ind w:firstLine="420"/>
      </w:pPr>
      <w:r>
        <w:rPr>
          <w:rFonts w:hint="eastAsia" w:ascii="宋体" w:hAnsi="宋体" w:eastAsia="宋体" w:cs="宋体"/>
          <w:sz w:val="21"/>
          <w:szCs w:val="21"/>
        </w:rPr>
        <w:t>（1）资格及资信证明部分</w:t>
      </w:r>
    </w:p>
    <w:p>
      <w:pPr>
        <w:pStyle w:val="7"/>
        <w:widowControl/>
        <w:ind w:firstLine="420"/>
      </w:pPr>
      <w:r>
        <w:rPr>
          <w:rFonts w:hint="eastAsia" w:ascii="宋体" w:hAnsi="宋体" w:eastAsia="宋体" w:cs="宋体"/>
          <w:sz w:val="21"/>
          <w:szCs w:val="21"/>
        </w:rPr>
        <w:t>①投标函</w:t>
      </w:r>
    </w:p>
    <w:p>
      <w:pPr>
        <w:pStyle w:val="7"/>
        <w:widowControl/>
        <w:ind w:firstLine="420"/>
      </w:pPr>
      <w:r>
        <w:rPr>
          <w:rFonts w:hint="eastAsia" w:ascii="宋体" w:hAnsi="宋体" w:eastAsia="宋体" w:cs="宋体"/>
          <w:sz w:val="21"/>
          <w:szCs w:val="21"/>
        </w:rPr>
        <w:t>②投标人的资格及资信证明文件</w:t>
      </w:r>
    </w:p>
    <w:p>
      <w:pPr>
        <w:pStyle w:val="7"/>
        <w:widowControl/>
        <w:ind w:firstLine="420"/>
      </w:pPr>
      <w:r>
        <w:rPr>
          <w:rFonts w:hint="eastAsia" w:ascii="宋体" w:hAnsi="宋体" w:eastAsia="宋体" w:cs="宋体"/>
          <w:sz w:val="21"/>
          <w:szCs w:val="21"/>
        </w:rPr>
        <w:t>③投标保证金</w:t>
      </w:r>
    </w:p>
    <w:p>
      <w:pPr>
        <w:pStyle w:val="7"/>
        <w:widowControl/>
        <w:ind w:firstLine="420"/>
      </w:pPr>
      <w:r>
        <w:rPr>
          <w:rFonts w:hint="eastAsia" w:ascii="宋体" w:hAnsi="宋体" w:eastAsia="宋体" w:cs="宋体"/>
          <w:sz w:val="21"/>
          <w:szCs w:val="21"/>
        </w:rPr>
        <w:t>（2）报价部分</w:t>
      </w:r>
    </w:p>
    <w:p>
      <w:pPr>
        <w:pStyle w:val="7"/>
        <w:widowControl/>
        <w:ind w:firstLine="420"/>
      </w:pPr>
      <w:r>
        <w:rPr>
          <w:rFonts w:hint="eastAsia" w:ascii="宋体" w:hAnsi="宋体" w:eastAsia="宋体" w:cs="宋体"/>
          <w:sz w:val="21"/>
          <w:szCs w:val="21"/>
        </w:rPr>
        <w:t>①开标一览表</w:t>
      </w:r>
    </w:p>
    <w:p>
      <w:pPr>
        <w:pStyle w:val="7"/>
        <w:widowControl/>
        <w:ind w:firstLine="420"/>
      </w:pPr>
      <w:r>
        <w:rPr>
          <w:rFonts w:hint="eastAsia" w:ascii="宋体" w:hAnsi="宋体" w:eastAsia="宋体" w:cs="宋体"/>
          <w:sz w:val="21"/>
          <w:szCs w:val="21"/>
        </w:rPr>
        <w:t>②投标分项报价表</w:t>
      </w:r>
    </w:p>
    <w:p>
      <w:pPr>
        <w:pStyle w:val="7"/>
        <w:widowControl/>
        <w:ind w:firstLine="420"/>
      </w:pPr>
      <w:r>
        <w:rPr>
          <w:rFonts w:hint="eastAsia" w:ascii="宋体" w:hAnsi="宋体" w:eastAsia="宋体" w:cs="宋体"/>
          <w:sz w:val="21"/>
          <w:szCs w:val="21"/>
        </w:rPr>
        <w:t>③招标文件规定的价格扣除证明材料（若有）</w:t>
      </w:r>
    </w:p>
    <w:p>
      <w:pPr>
        <w:pStyle w:val="7"/>
        <w:widowControl/>
        <w:ind w:firstLine="420"/>
      </w:pPr>
      <w:r>
        <w:rPr>
          <w:rFonts w:hint="eastAsia" w:ascii="宋体" w:hAnsi="宋体" w:eastAsia="宋体" w:cs="宋体"/>
          <w:sz w:val="21"/>
          <w:szCs w:val="21"/>
        </w:rPr>
        <w:t>④招标文件规定的加分证明材料（若有）</w:t>
      </w:r>
    </w:p>
    <w:p>
      <w:pPr>
        <w:pStyle w:val="7"/>
        <w:widowControl/>
        <w:ind w:firstLine="420"/>
      </w:pPr>
      <w:r>
        <w:rPr>
          <w:rFonts w:hint="eastAsia" w:ascii="宋体" w:hAnsi="宋体" w:eastAsia="宋体" w:cs="宋体"/>
          <w:sz w:val="21"/>
          <w:szCs w:val="21"/>
        </w:rPr>
        <w:t>（3）技术商务部分</w:t>
      </w:r>
    </w:p>
    <w:p>
      <w:pPr>
        <w:pStyle w:val="7"/>
        <w:widowControl/>
        <w:ind w:firstLine="420"/>
      </w:pPr>
      <w:r>
        <w:rPr>
          <w:rFonts w:hint="eastAsia" w:ascii="宋体" w:hAnsi="宋体" w:eastAsia="宋体" w:cs="宋体"/>
          <w:sz w:val="21"/>
          <w:szCs w:val="21"/>
        </w:rPr>
        <w:t>①标的说明一览表</w:t>
      </w:r>
    </w:p>
    <w:p>
      <w:pPr>
        <w:pStyle w:val="7"/>
        <w:widowControl/>
        <w:ind w:firstLine="420"/>
      </w:pPr>
      <w:r>
        <w:rPr>
          <w:rFonts w:hint="eastAsia" w:ascii="宋体" w:hAnsi="宋体" w:eastAsia="宋体" w:cs="宋体"/>
          <w:sz w:val="21"/>
          <w:szCs w:val="21"/>
        </w:rPr>
        <w:t>②技术和服务要求响应表</w:t>
      </w:r>
    </w:p>
    <w:p>
      <w:pPr>
        <w:pStyle w:val="7"/>
        <w:widowControl/>
        <w:ind w:firstLine="420"/>
      </w:pPr>
      <w:r>
        <w:rPr>
          <w:rFonts w:hint="eastAsia" w:ascii="宋体" w:hAnsi="宋体" w:eastAsia="宋体" w:cs="宋体"/>
          <w:sz w:val="21"/>
          <w:szCs w:val="21"/>
        </w:rPr>
        <w:t>③商务条件响应表</w:t>
      </w:r>
    </w:p>
    <w:p>
      <w:pPr>
        <w:pStyle w:val="7"/>
        <w:widowControl/>
        <w:ind w:firstLine="420"/>
      </w:pPr>
      <w:r>
        <w:rPr>
          <w:rFonts w:hint="eastAsia" w:ascii="宋体" w:hAnsi="宋体" w:eastAsia="宋体" w:cs="宋体"/>
          <w:sz w:val="21"/>
          <w:szCs w:val="21"/>
        </w:rPr>
        <w:t>④投标人提交的其他资料（若有）</w:t>
      </w:r>
    </w:p>
    <w:p>
      <w:pPr>
        <w:pStyle w:val="7"/>
        <w:widowControl/>
        <w:ind w:firstLine="420"/>
      </w:pPr>
      <w:r>
        <w:rPr>
          <w:rFonts w:hint="eastAsia" w:ascii="宋体" w:hAnsi="宋体" w:eastAsia="宋体" w:cs="宋体"/>
          <w:sz w:val="21"/>
          <w:szCs w:val="21"/>
        </w:rPr>
        <w:t>根据本函，本投标人代表宣布我方保证遵守招标文件的全部规定，同时：</w:t>
      </w:r>
    </w:p>
    <w:p>
      <w:pPr>
        <w:pStyle w:val="7"/>
        <w:widowControl/>
        <w:ind w:firstLine="420"/>
      </w:pPr>
      <w:r>
        <w:rPr>
          <w:rFonts w:hint="eastAsia" w:ascii="宋体" w:hAnsi="宋体" w:eastAsia="宋体" w:cs="宋体"/>
          <w:sz w:val="21"/>
          <w:szCs w:val="21"/>
        </w:rPr>
        <w:t>1、</w:t>
      </w:r>
      <w:r>
        <w:rPr>
          <w:rStyle w:val="10"/>
          <w:rFonts w:hint="eastAsia" w:ascii="宋体" w:hAnsi="宋体" w:eastAsia="宋体" w:cs="宋体"/>
          <w:sz w:val="21"/>
          <w:szCs w:val="21"/>
        </w:rPr>
        <w:t>确认：</w:t>
      </w:r>
    </w:p>
    <w:p>
      <w:pPr>
        <w:pStyle w:val="7"/>
        <w:widowControl/>
        <w:ind w:firstLine="420"/>
      </w:pPr>
      <w:r>
        <w:rPr>
          <w:rFonts w:hint="eastAsia" w:ascii="宋体" w:hAnsi="宋体" w:eastAsia="宋体" w:cs="宋体"/>
          <w:sz w:val="21"/>
          <w:szCs w:val="21"/>
        </w:rPr>
        <w:t>1.1所投采购包的投标报价详见“开标一览表”及“投标分项报价表”。</w:t>
      </w:r>
    </w:p>
    <w:p>
      <w:pPr>
        <w:pStyle w:val="7"/>
        <w:widowControl/>
        <w:ind w:firstLine="420"/>
      </w:pPr>
      <w:r>
        <w:rPr>
          <w:rFonts w:hint="eastAsia" w:ascii="宋体" w:hAnsi="宋体" w:eastAsia="宋体" w:cs="宋体"/>
          <w:sz w:val="21"/>
          <w:szCs w:val="21"/>
        </w:rPr>
        <w:t>1.2我方已详细审查全部招标文件</w:t>
      </w:r>
      <w:r>
        <w:rPr>
          <w:rFonts w:ascii="Calibri" w:hAnsi="Calibri" w:eastAsia="宋体" w:cs="Calibri"/>
          <w:sz w:val="21"/>
          <w:szCs w:val="21"/>
        </w:rPr>
        <w:t>[</w:t>
      </w:r>
      <w:r>
        <w:rPr>
          <w:rFonts w:hint="eastAsia" w:ascii="宋体" w:hAnsi="宋体" w:eastAsia="宋体" w:cs="宋体"/>
          <w:sz w:val="21"/>
          <w:szCs w:val="21"/>
        </w:rPr>
        <w:t>包括但不限于：有关附件（若有）、澄清或修改（若有）等</w:t>
      </w:r>
      <w:r>
        <w:rPr>
          <w:rFonts w:ascii="Calibri" w:hAnsi="Calibri" w:eastAsia="宋体" w:cs="Calibri"/>
          <w:sz w:val="21"/>
          <w:szCs w:val="21"/>
        </w:rPr>
        <w:t>]</w:t>
      </w:r>
      <w:r>
        <w:rPr>
          <w:rFonts w:hint="eastAsia" w:ascii="宋体" w:hAnsi="宋体" w:eastAsia="宋体" w:cs="宋体"/>
          <w:sz w:val="21"/>
          <w:szCs w:val="21"/>
        </w:rPr>
        <w:t>，并自行承担因对全部招标文件理解不正确或误解而产生的相应后果和责任。</w:t>
      </w:r>
    </w:p>
    <w:p>
      <w:pPr>
        <w:pStyle w:val="7"/>
        <w:widowControl/>
        <w:ind w:firstLine="420"/>
      </w:pPr>
      <w:r>
        <w:rPr>
          <w:rFonts w:hint="eastAsia" w:ascii="宋体" w:hAnsi="宋体" w:eastAsia="宋体" w:cs="宋体"/>
          <w:sz w:val="21"/>
          <w:szCs w:val="21"/>
        </w:rPr>
        <w:t>2、</w:t>
      </w:r>
      <w:r>
        <w:rPr>
          <w:rStyle w:val="10"/>
          <w:rFonts w:hint="eastAsia" w:ascii="宋体" w:hAnsi="宋体" w:eastAsia="宋体" w:cs="宋体"/>
          <w:sz w:val="21"/>
          <w:szCs w:val="21"/>
        </w:rPr>
        <w:t>承诺及声明：</w:t>
      </w:r>
    </w:p>
    <w:p>
      <w:pPr>
        <w:pStyle w:val="7"/>
        <w:widowControl/>
        <w:ind w:firstLine="420"/>
      </w:pPr>
      <w:r>
        <w:rPr>
          <w:rFonts w:hint="eastAsia" w:ascii="宋体" w:hAnsi="宋体" w:eastAsia="宋体" w:cs="宋体"/>
          <w:sz w:val="21"/>
          <w:szCs w:val="21"/>
        </w:rPr>
        <w:t>2.1我方具备招标文件第一章载明的“投标人的资格要求”且符合招标文件第三章载明的“二、投标人”之规定，否则</w:t>
      </w:r>
      <w:r>
        <w:rPr>
          <w:rStyle w:val="10"/>
          <w:rFonts w:hint="eastAsia" w:ascii="宋体" w:hAnsi="宋体" w:eastAsia="宋体" w:cs="宋体"/>
          <w:sz w:val="21"/>
          <w:szCs w:val="21"/>
        </w:rPr>
        <w:t>投标无效。</w:t>
      </w:r>
    </w:p>
    <w:p>
      <w:pPr>
        <w:pStyle w:val="7"/>
        <w:widowControl/>
        <w:ind w:firstLine="420"/>
      </w:pPr>
      <w:r>
        <w:rPr>
          <w:rFonts w:hint="eastAsia" w:ascii="宋体" w:hAnsi="宋体" w:eastAsia="宋体" w:cs="宋体"/>
          <w:sz w:val="21"/>
          <w:szCs w:val="21"/>
        </w:rPr>
        <w:t>2.2我方提交的电子投标文件各组成部分的全部内容及资料是不可割离且真实、有效、准确、完整和不具有任何误导性的，否则产生不利后果由我方承担责任。</w:t>
      </w:r>
    </w:p>
    <w:p>
      <w:pPr>
        <w:pStyle w:val="7"/>
        <w:widowControl/>
        <w:ind w:firstLine="420"/>
      </w:pPr>
      <w:r>
        <w:rPr>
          <w:rFonts w:hint="eastAsia" w:ascii="宋体" w:hAnsi="宋体" w:eastAsia="宋体" w:cs="宋体"/>
          <w:sz w:val="21"/>
          <w:szCs w:val="21"/>
        </w:rPr>
        <w:t>2.3我方提供的标的价格不高于同期市场价格，否则产生不利后果由我方承担责任。</w:t>
      </w:r>
    </w:p>
    <w:p>
      <w:pPr>
        <w:pStyle w:val="7"/>
        <w:widowControl/>
        <w:ind w:firstLine="420"/>
      </w:pPr>
      <w:r>
        <w:rPr>
          <w:rFonts w:hint="eastAsia" w:ascii="宋体" w:hAnsi="宋体" w:eastAsia="宋体" w:cs="宋体"/>
          <w:sz w:val="21"/>
          <w:szCs w:val="21"/>
        </w:rPr>
        <w:t>2.4投标保证金：若出现招标文件第三章规定的不予退还情形，同意贵单位不予退还。</w:t>
      </w:r>
    </w:p>
    <w:p>
      <w:pPr>
        <w:pStyle w:val="7"/>
        <w:widowControl/>
        <w:ind w:firstLine="420"/>
      </w:pPr>
      <w:r>
        <w:rPr>
          <w:rFonts w:hint="eastAsia" w:ascii="宋体" w:hAnsi="宋体" w:eastAsia="宋体" w:cs="宋体"/>
          <w:sz w:val="21"/>
          <w:szCs w:val="21"/>
        </w:rPr>
        <w:t>2.5投标有效期：按照招标文件第三章规定执行，并在招标文件第二章载明的期限内保持有效。</w:t>
      </w:r>
    </w:p>
    <w:p>
      <w:pPr>
        <w:pStyle w:val="7"/>
        <w:widowControl/>
        <w:ind w:firstLine="420"/>
      </w:pPr>
      <w:r>
        <w:rPr>
          <w:rFonts w:hint="eastAsia" w:ascii="宋体" w:hAnsi="宋体" w:eastAsia="宋体" w:cs="宋体"/>
          <w:sz w:val="21"/>
          <w:szCs w:val="21"/>
        </w:rPr>
        <w:t>2.6若中标，将按照招标文件、我方电子投标文件及政府采购合同履行责任和义务。</w:t>
      </w:r>
    </w:p>
    <w:p>
      <w:pPr>
        <w:pStyle w:val="7"/>
        <w:widowControl/>
        <w:ind w:firstLine="420"/>
      </w:pPr>
      <w:r>
        <w:rPr>
          <w:rFonts w:hint="eastAsia" w:ascii="宋体" w:hAnsi="宋体" w:eastAsia="宋体" w:cs="宋体"/>
          <w:sz w:val="21"/>
          <w:szCs w:val="21"/>
        </w:rPr>
        <w:t>2.7若贵单位要求，我方同意提供与本项目投标有关的一切资料、数据或文件，并完全理解贵单位不一定要接受最低的投标报价或收到的任何投标。</w:t>
      </w:r>
      <w:r>
        <w:rPr>
          <w:rFonts w:hint="eastAsia" w:ascii="宋体" w:hAnsi="宋体" w:eastAsia="宋体" w:cs="宋体"/>
          <w:sz w:val="21"/>
          <w:szCs w:val="21"/>
        </w:rPr>
        <w:br w:type="textWrapping"/>
      </w:r>
      <w:r>
        <w:rPr>
          <w:rFonts w:hint="eastAsia" w:ascii="宋体" w:hAnsi="宋体" w:eastAsia="宋体" w:cs="宋体"/>
          <w:sz w:val="21"/>
          <w:szCs w:val="21"/>
        </w:rPr>
        <w:t>  2.8我方承诺电子投标文件所提供的全部资料真实可靠，并接受评标委员会、采购人、采购代理机构、监管部门进一步审查其中任何资料真实性的要求。</w:t>
      </w:r>
    </w:p>
    <w:p>
      <w:pPr>
        <w:pStyle w:val="7"/>
        <w:widowControl/>
        <w:ind w:firstLine="420"/>
        <w:rPr>
          <w:rFonts w:ascii="宋体" w:hAnsi="宋体" w:eastAsia="宋体" w:cs="宋体"/>
          <w:sz w:val="21"/>
          <w:szCs w:val="21"/>
        </w:rPr>
      </w:pPr>
      <w:r>
        <w:rPr>
          <w:rFonts w:hint="eastAsia" w:ascii="宋体" w:hAnsi="宋体" w:eastAsia="宋体" w:cs="宋体"/>
          <w:sz w:val="21"/>
          <w:szCs w:val="21"/>
        </w:rPr>
        <w:t>2.9除招标文件另有规定外，对于贵单位按照下述联络方式发出的任何信息或通知，均视为我方已收悉前述信息或通知的全部内容：</w:t>
      </w:r>
      <w:r>
        <w:rPr>
          <w:rFonts w:hint="eastAsia" w:ascii="宋体" w:hAnsi="宋体" w:eastAsia="宋体" w:cs="宋体"/>
          <w:sz w:val="21"/>
          <w:szCs w:val="21"/>
        </w:rPr>
        <w:br w:type="textWrapping"/>
      </w:r>
      <w:r>
        <w:rPr>
          <w:rFonts w:hint="eastAsia" w:ascii="宋体" w:hAnsi="宋体" w:eastAsia="宋体" w:cs="宋体"/>
          <w:sz w:val="21"/>
          <w:szCs w:val="21"/>
        </w:rPr>
        <w:t>  通信地址：                                        </w:t>
      </w:r>
      <w:r>
        <w:rPr>
          <w:rFonts w:hint="eastAsia" w:ascii="宋体" w:hAnsi="宋体" w:eastAsia="宋体" w:cs="宋体"/>
          <w:sz w:val="21"/>
          <w:szCs w:val="21"/>
        </w:rPr>
        <w:br w:type="textWrapping"/>
      </w:r>
      <w:r>
        <w:rPr>
          <w:rFonts w:hint="eastAsia" w:ascii="宋体" w:hAnsi="宋体" w:eastAsia="宋体" w:cs="宋体"/>
          <w:sz w:val="21"/>
          <w:szCs w:val="21"/>
        </w:rPr>
        <w:t>  邮编：                                           </w:t>
      </w:r>
      <w:r>
        <w:rPr>
          <w:rFonts w:hint="eastAsia" w:ascii="宋体" w:hAnsi="宋体" w:eastAsia="宋体" w:cs="宋体"/>
          <w:sz w:val="21"/>
          <w:szCs w:val="21"/>
        </w:rPr>
        <w:br w:type="textWrapping"/>
      </w:r>
      <w:r>
        <w:rPr>
          <w:rFonts w:hint="eastAsia" w:ascii="宋体" w:hAnsi="宋体" w:eastAsia="宋体" w:cs="宋体"/>
          <w:sz w:val="21"/>
          <w:szCs w:val="21"/>
        </w:rPr>
        <w:t>  联系方法：（包括但不限于：联系人、联系电话、手机、传真、电子邮箱等）</w:t>
      </w:r>
      <w:r>
        <w:rPr>
          <w:rFonts w:hint="eastAsia" w:ascii="宋体" w:hAnsi="宋体" w:eastAsia="宋体" w:cs="宋体"/>
          <w:sz w:val="21"/>
          <w:szCs w:val="21"/>
        </w:rPr>
        <w:br w:type="textWrapping"/>
      </w:r>
      <w:r>
        <w:rPr>
          <w:rFonts w:hint="eastAsia" w:ascii="宋体" w:hAnsi="宋体" w:eastAsia="宋体" w:cs="宋体"/>
          <w:sz w:val="21"/>
          <w:szCs w:val="21"/>
        </w:rPr>
        <w:t>  投标人：（全称并加盖单位公章）</w:t>
      </w:r>
      <w:r>
        <w:rPr>
          <w:rFonts w:hint="eastAsia" w:ascii="宋体" w:hAnsi="宋体" w:eastAsia="宋体" w:cs="宋体"/>
          <w:sz w:val="21"/>
          <w:szCs w:val="21"/>
        </w:rPr>
        <w:br w:type="textWrapping"/>
      </w:r>
      <w:r>
        <w:rPr>
          <w:rFonts w:hint="eastAsia" w:ascii="宋体" w:hAnsi="宋体" w:eastAsia="宋体" w:cs="宋体"/>
          <w:sz w:val="21"/>
          <w:szCs w:val="21"/>
        </w:rPr>
        <w:t>  日期：    年   月   日</w:t>
      </w:r>
    </w:p>
    <w:p>
      <w:pPr>
        <w:pStyle w:val="7"/>
        <w:widowControl/>
        <w:ind w:firstLine="420"/>
        <w:rPr>
          <w:rFonts w:ascii="宋体" w:hAnsi="宋体" w:eastAsia="宋体" w:cs="宋体"/>
          <w:sz w:val="21"/>
          <w:szCs w:val="21"/>
        </w:rPr>
      </w:pPr>
    </w:p>
    <w:p>
      <w:pPr>
        <w:pStyle w:val="7"/>
        <w:widowControl/>
        <w:ind w:firstLine="420"/>
        <w:rPr>
          <w:rFonts w:ascii="宋体" w:hAnsi="宋体" w:eastAsia="宋体" w:cs="宋体"/>
          <w:sz w:val="21"/>
          <w:szCs w:val="21"/>
        </w:rPr>
      </w:pPr>
    </w:p>
    <w:p>
      <w:pPr>
        <w:pStyle w:val="7"/>
        <w:widowControl/>
        <w:ind w:firstLine="420"/>
        <w:rPr>
          <w:rFonts w:ascii="宋体" w:hAnsi="宋体" w:eastAsia="宋体" w:cs="宋体"/>
          <w:sz w:val="21"/>
          <w:szCs w:val="21"/>
        </w:rPr>
      </w:pPr>
    </w:p>
    <w:p>
      <w:pPr>
        <w:pStyle w:val="7"/>
        <w:widowControl/>
        <w:ind w:firstLine="420"/>
        <w:rPr>
          <w:rFonts w:ascii="宋体" w:hAnsi="宋体" w:eastAsia="宋体" w:cs="宋体"/>
          <w:sz w:val="21"/>
          <w:szCs w:val="21"/>
        </w:rPr>
      </w:pPr>
    </w:p>
    <w:p>
      <w:pPr>
        <w:pStyle w:val="7"/>
        <w:widowControl/>
        <w:ind w:firstLine="420"/>
        <w:rPr>
          <w:rFonts w:ascii="宋体" w:hAnsi="宋体" w:eastAsia="宋体" w:cs="宋体"/>
          <w:sz w:val="21"/>
          <w:szCs w:val="21"/>
        </w:rPr>
      </w:pPr>
    </w:p>
    <w:p>
      <w:pPr>
        <w:pStyle w:val="7"/>
        <w:widowControl/>
        <w:ind w:firstLine="420"/>
        <w:rPr>
          <w:rFonts w:ascii="宋体" w:hAnsi="宋体" w:eastAsia="宋体" w:cs="宋体"/>
          <w:sz w:val="21"/>
          <w:szCs w:val="21"/>
        </w:rPr>
      </w:pPr>
    </w:p>
    <w:p>
      <w:pPr>
        <w:pStyle w:val="7"/>
        <w:widowControl/>
        <w:ind w:firstLine="420"/>
        <w:rPr>
          <w:rFonts w:ascii="宋体" w:hAnsi="宋体" w:eastAsia="宋体" w:cs="宋体"/>
          <w:sz w:val="21"/>
          <w:szCs w:val="21"/>
        </w:rPr>
      </w:pPr>
    </w:p>
    <w:p>
      <w:pPr>
        <w:pStyle w:val="7"/>
        <w:widowControl/>
        <w:ind w:firstLine="420"/>
        <w:rPr>
          <w:rFonts w:ascii="宋体" w:hAnsi="宋体" w:eastAsia="宋体" w:cs="宋体"/>
          <w:sz w:val="21"/>
          <w:szCs w:val="21"/>
        </w:rPr>
      </w:pPr>
    </w:p>
    <w:p>
      <w:pPr>
        <w:pStyle w:val="7"/>
        <w:widowControl/>
        <w:jc w:val="center"/>
      </w:pPr>
      <w:r>
        <w:rPr>
          <w:rFonts w:ascii="Calibri" w:hAnsi="Calibri" w:cs="Calibri"/>
          <w:sz w:val="21"/>
          <w:szCs w:val="21"/>
        </w:rPr>
        <w:br w:type="textWrapping"/>
      </w:r>
      <w:r>
        <w:rPr>
          <w:rStyle w:val="10"/>
          <w:rFonts w:hint="eastAsia" w:ascii="宋体" w:hAnsi="宋体" w:eastAsia="宋体" w:cs="宋体"/>
          <w:sz w:val="21"/>
          <w:szCs w:val="21"/>
        </w:rPr>
        <w:t>二、投标人的资格及资信证明文件</w:t>
      </w:r>
    </w:p>
    <w:p>
      <w:pPr>
        <w:pStyle w:val="7"/>
        <w:widowControl/>
        <w:jc w:val="center"/>
      </w:pPr>
      <w:r>
        <w:rPr>
          <w:rStyle w:val="10"/>
          <w:rFonts w:hint="eastAsia" w:ascii="宋体" w:hAnsi="宋体" w:eastAsia="宋体" w:cs="宋体"/>
          <w:sz w:val="21"/>
          <w:szCs w:val="21"/>
        </w:rPr>
        <w:t>二-1单位授权书（若有）</w:t>
      </w:r>
    </w:p>
    <w:p>
      <w:pPr>
        <w:pStyle w:val="7"/>
        <w:widowControl/>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7"/>
        <w:widowControl/>
        <w:ind w:firstLine="420"/>
      </w:pPr>
      <w:r>
        <w:rPr>
          <w:rFonts w:hint="eastAsia" w:ascii="宋体" w:hAnsi="宋体" w:eastAsia="宋体" w:cs="宋体"/>
          <w:sz w:val="21"/>
          <w:szCs w:val="21"/>
        </w:rPr>
        <w:t>我方的单位负责人</w:t>
      </w:r>
      <w:r>
        <w:rPr>
          <w:rFonts w:hint="eastAsia" w:ascii="宋体" w:hAnsi="宋体" w:eastAsia="宋体" w:cs="宋体"/>
          <w:sz w:val="21"/>
          <w:szCs w:val="21"/>
          <w:u w:val="single"/>
        </w:rPr>
        <w:t>（填写“单位负责人全名”）</w:t>
      </w:r>
      <w:r>
        <w:rPr>
          <w:rFonts w:hint="eastAsia" w:ascii="宋体" w:hAnsi="宋体" w:eastAsia="宋体" w:cs="宋体"/>
          <w:sz w:val="21"/>
          <w:szCs w:val="21"/>
        </w:rPr>
        <w:t>授权</w:t>
      </w:r>
      <w:r>
        <w:rPr>
          <w:rFonts w:hint="eastAsia" w:ascii="宋体" w:hAnsi="宋体" w:eastAsia="宋体" w:cs="宋体"/>
          <w:sz w:val="21"/>
          <w:szCs w:val="21"/>
          <w:u w:val="single"/>
        </w:rPr>
        <w:t>（填写“投标人代表全名”）</w:t>
      </w:r>
      <w:r>
        <w:rPr>
          <w:rFonts w:hint="eastAsia" w:ascii="宋体" w:hAnsi="宋体" w:eastAsia="宋体" w:cs="宋体"/>
          <w:sz w:val="21"/>
          <w:szCs w:val="21"/>
        </w:rPr>
        <w:t>为投标人代表，代表我方参加</w:t>
      </w:r>
      <w:r>
        <w:rPr>
          <w:rFonts w:hint="eastAsia" w:ascii="宋体" w:hAnsi="宋体" w:eastAsia="宋体" w:cs="宋体"/>
          <w:sz w:val="21"/>
          <w:szCs w:val="21"/>
          <w:u w:val="single"/>
        </w:rPr>
        <w:t>（填写“项目名称”）</w:t>
      </w:r>
      <w:r>
        <w:rPr>
          <w:rFonts w:hint="eastAsia" w:ascii="宋体" w:hAnsi="宋体" w:eastAsia="宋体" w:cs="宋体"/>
          <w:sz w:val="21"/>
          <w:szCs w:val="21"/>
        </w:rPr>
        <w:t>项目（项目编号：</w:t>
      </w:r>
      <w:r>
        <w:rPr>
          <w:rFonts w:hint="eastAsia" w:ascii="宋体" w:hAnsi="宋体" w:eastAsia="宋体" w:cs="宋体"/>
          <w:sz w:val="21"/>
          <w:szCs w:val="21"/>
          <w:u w:val="single"/>
        </w:rPr>
        <w:t>         </w:t>
      </w:r>
      <w:r>
        <w:rPr>
          <w:rFonts w:hint="eastAsia" w:ascii="宋体" w:hAnsi="宋体" w:eastAsia="宋体" w:cs="宋体"/>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7"/>
        <w:widowControl/>
        <w:ind w:firstLine="420"/>
      </w:pPr>
      <w:r>
        <w:rPr>
          <w:rFonts w:hint="eastAsia" w:ascii="宋体" w:hAnsi="宋体" w:eastAsia="宋体" w:cs="宋体"/>
          <w:sz w:val="21"/>
          <w:szCs w:val="21"/>
        </w:rPr>
        <w:t>投标人代表无转委权。特此授权。</w:t>
      </w:r>
    </w:p>
    <w:p>
      <w:pPr>
        <w:pStyle w:val="7"/>
        <w:widowControl/>
        <w:jc w:val="center"/>
      </w:pPr>
      <w:r>
        <w:rPr>
          <w:rFonts w:hint="eastAsia" w:ascii="宋体" w:hAnsi="宋体" w:eastAsia="宋体" w:cs="宋体"/>
          <w:sz w:val="21"/>
          <w:szCs w:val="21"/>
        </w:rPr>
        <w:t>（以下无正文）</w:t>
      </w:r>
    </w:p>
    <w:p>
      <w:pPr>
        <w:pStyle w:val="7"/>
        <w:widowControl/>
      </w:pPr>
      <w:r>
        <w:rPr>
          <w:rFonts w:hint="eastAsia" w:ascii="宋体" w:hAnsi="宋体" w:eastAsia="宋体" w:cs="宋体"/>
          <w:sz w:val="21"/>
          <w:szCs w:val="21"/>
        </w:rPr>
        <w:t>单位负责人：</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7"/>
        <w:widowControl/>
      </w:pPr>
      <w:r>
        <w:rPr>
          <w:rFonts w:hint="eastAsia" w:ascii="宋体" w:hAnsi="宋体" w:eastAsia="宋体" w:cs="宋体"/>
          <w:sz w:val="21"/>
          <w:szCs w:val="21"/>
        </w:rPr>
        <w:t>投标人代表：</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7"/>
        <w:widowControl/>
      </w:pPr>
      <w:r>
        <w:rPr>
          <w:rFonts w:hint="eastAsia" w:ascii="宋体" w:hAnsi="宋体" w:eastAsia="宋体" w:cs="宋体"/>
          <w:sz w:val="21"/>
          <w:szCs w:val="21"/>
        </w:rPr>
        <w:t>授权方</w:t>
      </w:r>
    </w:p>
    <w:p>
      <w:pPr>
        <w:pStyle w:val="7"/>
        <w:widowControl/>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pPr>
      <w:r>
        <w:rPr>
          <w:rFonts w:ascii="Calibri" w:hAnsi="Calibri" w:cs="Calibri"/>
          <w:sz w:val="21"/>
          <w:szCs w:val="21"/>
        </w:rPr>
        <w:t> </w:t>
      </w:r>
    </w:p>
    <w:p>
      <w:pPr>
        <w:pStyle w:val="7"/>
        <w:widowControl/>
      </w:pPr>
      <w:r>
        <w:rPr>
          <w:rFonts w:hint="eastAsia" w:ascii="宋体" w:hAnsi="宋体" w:eastAsia="宋体" w:cs="宋体"/>
          <w:sz w:val="21"/>
          <w:szCs w:val="21"/>
        </w:rPr>
        <w:t>附：单位负责人、投标人代表的身份证正反面复印件</w:t>
      </w:r>
    </w:p>
    <w:tbl>
      <w:tblPr>
        <w:tblStyle w:val="8"/>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520" w:type="dxa"/>
            <w:tcBorders>
              <w:top w:val="nil"/>
              <w:left w:val="nil"/>
              <w:bottom w:val="nil"/>
              <w:right w:val="nil"/>
            </w:tcBorders>
            <w:shd w:val="clear" w:color="auto" w:fill="auto"/>
            <w:tcMar>
              <w:top w:w="0" w:type="dxa"/>
              <w:left w:w="105" w:type="dxa"/>
              <w:bottom w:w="0" w:type="dxa"/>
              <w:right w:w="105" w:type="dxa"/>
            </w:tcMar>
            <w:vAlign w:val="center"/>
          </w:tcPr>
          <w:p>
            <w:pPr>
              <w:pStyle w:val="7"/>
              <w:widowControl/>
              <w:jc w:val="center"/>
            </w:pPr>
            <w:r>
              <w:rPr>
                <w:rStyle w:val="10"/>
                <w:rFonts w:hint="eastAsia" w:ascii="宋体" w:hAnsi="宋体" w:eastAsia="宋体" w:cs="宋体"/>
                <w:sz w:val="21"/>
                <w:szCs w:val="21"/>
              </w:rPr>
              <w:t> </w:t>
            </w:r>
          </w:p>
          <w:p>
            <w:pPr>
              <w:pStyle w:val="7"/>
              <w:widowControl/>
              <w:jc w:val="center"/>
            </w:pPr>
            <w:r>
              <w:rPr>
                <w:rStyle w:val="10"/>
                <w:rFonts w:hint="eastAsia" w:ascii="宋体" w:hAnsi="宋体" w:eastAsia="宋体" w:cs="宋体"/>
                <w:sz w:val="21"/>
                <w:szCs w:val="21"/>
              </w:rPr>
              <w:t>要求：真实有效且内容完整、清晰、整洁。</w:t>
            </w:r>
          </w:p>
          <w:p>
            <w:pPr>
              <w:pStyle w:val="7"/>
              <w:widowControl/>
              <w:jc w:val="center"/>
            </w:pPr>
            <w:r>
              <w:rPr>
                <w:rStyle w:val="10"/>
                <w:rFonts w:hint="eastAsia" w:ascii="宋体" w:hAnsi="宋体" w:eastAsia="宋体" w:cs="宋体"/>
                <w:sz w:val="21"/>
                <w:szCs w:val="21"/>
              </w:rPr>
              <w:t> </w:t>
            </w:r>
          </w:p>
        </w:tc>
      </w:tr>
    </w:tbl>
    <w:p>
      <w:pPr>
        <w:pStyle w:val="7"/>
        <w:widowControl/>
        <w:spacing w:beforeAutospacing="0" w:afterAutospacing="0"/>
      </w:pPr>
      <w:r>
        <w:rPr>
          <w:rFonts w:hint="eastAsia" w:ascii="宋体" w:hAnsi="宋体" w:eastAsia="宋体" w:cs="宋体"/>
          <w:sz w:val="21"/>
          <w:szCs w:val="21"/>
        </w:rPr>
        <w:t>※注意：</w:t>
      </w:r>
    </w:p>
    <w:p>
      <w:pPr>
        <w:pStyle w:val="7"/>
        <w:widowControl/>
        <w:spacing w:beforeAutospacing="0" w:afterAutospacing="0"/>
      </w:pPr>
      <w:r>
        <w:rPr>
          <w:rFonts w:hint="eastAsia" w:ascii="宋体" w:hAnsi="宋体" w:eastAsia="宋体" w:cs="宋体"/>
          <w:sz w:val="21"/>
          <w:szCs w:val="21"/>
        </w:rPr>
        <w:t>1、企业（银行、保险、石油石化、电力、电信等行业除外）、事业单位和社会团体法人的“单位负责人”指</w:t>
      </w:r>
      <w:r>
        <w:rPr>
          <w:rStyle w:val="10"/>
          <w:rFonts w:hint="eastAsia" w:ascii="宋体" w:hAnsi="宋体" w:eastAsia="宋体" w:cs="宋体"/>
          <w:sz w:val="21"/>
          <w:szCs w:val="21"/>
        </w:rPr>
        <w:t>法定代表人</w:t>
      </w:r>
      <w:r>
        <w:rPr>
          <w:rFonts w:hint="eastAsia" w:ascii="宋体" w:hAnsi="宋体" w:eastAsia="宋体" w:cs="宋体"/>
          <w:sz w:val="21"/>
          <w:szCs w:val="21"/>
        </w:rPr>
        <w:t>，即与实际提交的“营业执照等证明文件”载明的一致。</w:t>
      </w:r>
    </w:p>
    <w:p>
      <w:pPr>
        <w:pStyle w:val="7"/>
        <w:widowControl/>
        <w:spacing w:beforeAutospacing="0" w:afterAutospacing="0"/>
      </w:pPr>
      <w:r>
        <w:rPr>
          <w:rFonts w:hint="eastAsia" w:ascii="宋体" w:hAnsi="宋体" w:eastAsia="宋体" w:cs="宋体"/>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7"/>
        <w:widowControl/>
        <w:spacing w:beforeAutospacing="0" w:afterAutospacing="0"/>
      </w:pPr>
      <w:r>
        <w:rPr>
          <w:rFonts w:hint="eastAsia" w:ascii="宋体" w:hAnsi="宋体" w:eastAsia="宋体" w:cs="宋体"/>
          <w:sz w:val="21"/>
          <w:szCs w:val="21"/>
        </w:rPr>
        <w:t>3、投标人（自然人除外）：若投标人代表为单位授权的委托代理人，应提供本授权书；若投标人代表为单位负责人，应在此项下提交其身份证正反面复印件，可不提供本授权书。</w:t>
      </w:r>
      <w:r>
        <w:rPr>
          <w:rFonts w:hint="eastAsia" w:ascii="宋体" w:hAnsi="宋体" w:eastAsia="宋体" w:cs="宋体"/>
          <w:sz w:val="21"/>
          <w:szCs w:val="21"/>
        </w:rPr>
        <w:br w:type="textWrapping"/>
      </w:r>
      <w:r>
        <w:rPr>
          <w:rFonts w:hint="eastAsia" w:ascii="宋体" w:hAnsi="宋体" w:eastAsia="宋体" w:cs="宋体"/>
          <w:sz w:val="21"/>
          <w:szCs w:val="21"/>
        </w:rPr>
        <w:t>4、投标人为自然人的，可不填写本授权书。</w:t>
      </w:r>
    </w:p>
    <w:p>
      <w:pPr>
        <w:pStyle w:val="7"/>
        <w:widowControl/>
        <w:jc w:val="center"/>
      </w:pPr>
      <w:r>
        <w:rPr>
          <w:rFonts w:ascii="Calibri" w:hAnsi="Calibri" w:cs="Calibri"/>
          <w:sz w:val="21"/>
          <w:szCs w:val="21"/>
        </w:rPr>
        <w:br w:type="textWrapping"/>
      </w:r>
      <w:r>
        <w:rPr>
          <w:rStyle w:val="10"/>
          <w:rFonts w:hint="eastAsia" w:ascii="宋体" w:hAnsi="宋体" w:eastAsia="宋体" w:cs="宋体"/>
          <w:sz w:val="21"/>
          <w:szCs w:val="21"/>
        </w:rPr>
        <w:t>二-2营业执照等证明文件</w:t>
      </w:r>
    </w:p>
    <w:p>
      <w:pPr>
        <w:pStyle w:val="7"/>
        <w:widowControl/>
      </w:pPr>
      <w:r>
        <w:rPr>
          <w:rFonts w:ascii="Calibri" w:hAnsi="Calibri" w:cs="Calibri"/>
          <w:sz w:val="21"/>
          <w:szCs w:val="21"/>
        </w:rPr>
        <w:t> </w:t>
      </w:r>
    </w:p>
    <w:p>
      <w:pPr>
        <w:pStyle w:val="7"/>
        <w:widowControl/>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7"/>
        <w:widowControl/>
        <w:ind w:firstLine="420"/>
      </w:pPr>
      <w:r>
        <w:rPr>
          <w:rFonts w:hint="eastAsia" w:ascii="宋体" w:hAnsi="宋体" w:eastAsia="宋体" w:cs="宋体"/>
          <w:sz w:val="21"/>
          <w:szCs w:val="21"/>
        </w:rPr>
        <w:t>（ ）投标人为法人（包括企业、事业单位和社会团体）的</w:t>
      </w:r>
    </w:p>
    <w:p>
      <w:pPr>
        <w:pStyle w:val="7"/>
        <w:widowControl/>
        <w:ind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签发的我方统一社会信用代码</w:t>
      </w:r>
      <w:r>
        <w:rPr>
          <w:rFonts w:hint="eastAsia" w:ascii="宋体" w:hAnsi="宋体" w:eastAsia="宋体" w:cs="宋体"/>
          <w:sz w:val="21"/>
          <w:szCs w:val="21"/>
          <w:u w:val="single"/>
        </w:rPr>
        <w:t>（请填写法人的具体证照名称）</w:t>
      </w:r>
      <w:r>
        <w:rPr>
          <w:rFonts w:hint="eastAsia" w:ascii="宋体" w:hAnsi="宋体" w:eastAsia="宋体" w:cs="宋体"/>
          <w:sz w:val="21"/>
          <w:szCs w:val="21"/>
        </w:rPr>
        <w:t>复印件，该证明材料真实有效，否则我方负全部责任。</w:t>
      </w:r>
    </w:p>
    <w:p>
      <w:pPr>
        <w:pStyle w:val="7"/>
        <w:widowControl/>
        <w:ind w:firstLine="420"/>
      </w:pPr>
      <w:r>
        <w:rPr>
          <w:rFonts w:hint="eastAsia" w:ascii="宋体" w:hAnsi="宋体" w:eastAsia="宋体" w:cs="宋体"/>
          <w:sz w:val="21"/>
          <w:szCs w:val="21"/>
        </w:rPr>
        <w:t>（ ）投标人为非法人（包括其他组织、自然人）的</w:t>
      </w:r>
    </w:p>
    <w:p>
      <w:pPr>
        <w:pStyle w:val="7"/>
        <w:widowControl/>
        <w:ind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（请填写非自然人的非法人的具体证照名称）</w:t>
      </w:r>
      <w:r>
        <w:rPr>
          <w:rFonts w:hint="eastAsia" w:ascii="宋体" w:hAnsi="宋体" w:eastAsia="宋体" w:cs="宋体"/>
          <w:sz w:val="21"/>
          <w:szCs w:val="21"/>
        </w:rPr>
        <w:t>复印件，该证明材料真实有效，否则我方负全部责任。</w:t>
      </w:r>
    </w:p>
    <w:p>
      <w:pPr>
        <w:pStyle w:val="7"/>
        <w:widowControl/>
        <w:ind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（请填写自然人的身份证件名称）</w:t>
      </w:r>
      <w:r>
        <w:rPr>
          <w:rFonts w:hint="eastAsia" w:ascii="宋体" w:hAnsi="宋体" w:eastAsia="宋体" w:cs="宋体"/>
          <w:sz w:val="21"/>
          <w:szCs w:val="21"/>
        </w:rPr>
        <w:t>复印件，该证明材料真实有效，否则我方负全部责任。</w:t>
      </w:r>
    </w:p>
    <w:p>
      <w:pPr>
        <w:pStyle w:val="7"/>
        <w:widowControl/>
      </w:pPr>
      <w:r>
        <w:rPr>
          <w:rFonts w:ascii="Calibri" w:hAnsi="Calibri" w:cs="Calibri"/>
          <w:sz w:val="21"/>
          <w:szCs w:val="21"/>
        </w:rPr>
        <w:t> </w:t>
      </w:r>
    </w:p>
    <w:p>
      <w:pPr>
        <w:pStyle w:val="7"/>
        <w:widowControl/>
      </w:pPr>
      <w:r>
        <w:rPr>
          <w:rFonts w:hint="eastAsia" w:ascii="宋体" w:hAnsi="宋体" w:eastAsia="宋体" w:cs="宋体"/>
          <w:sz w:val="21"/>
          <w:szCs w:val="21"/>
        </w:rPr>
        <w:t>※注意：</w:t>
      </w:r>
    </w:p>
    <w:p>
      <w:pPr>
        <w:pStyle w:val="7"/>
        <w:widowControl/>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7"/>
        <w:widowControl/>
      </w:pPr>
      <w:r>
        <w:rPr>
          <w:rFonts w:hint="eastAsia" w:ascii="宋体" w:hAnsi="宋体" w:eastAsia="宋体" w:cs="宋体"/>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7"/>
        <w:widowControl/>
      </w:pPr>
      <w:r>
        <w:rPr>
          <w:rFonts w:ascii="Calibri" w:hAnsi="Calibri" w:cs="Calibri"/>
          <w:sz w:val="21"/>
          <w:szCs w:val="21"/>
        </w:rPr>
        <w:t> </w:t>
      </w:r>
    </w:p>
    <w:p>
      <w:pPr>
        <w:pStyle w:val="7"/>
        <w:widowControl/>
      </w:pPr>
      <w:r>
        <w:rPr>
          <w:rFonts w:ascii="Calibri" w:hAnsi="Calibri" w:cs="Calibri"/>
          <w:sz w:val="21"/>
          <w:szCs w:val="21"/>
        </w:rPr>
        <w:t> </w:t>
      </w:r>
    </w:p>
    <w:p>
      <w:pPr>
        <w:pStyle w:val="7"/>
        <w:widowControl/>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 </w:t>
      </w:r>
    </w:p>
    <w:p>
      <w:pPr>
        <w:pStyle w:val="7"/>
        <w:widowControl/>
        <w:jc w:val="center"/>
      </w:pPr>
      <w:r>
        <w:rPr>
          <w:rStyle w:val="10"/>
          <w:rFonts w:hint="eastAsia" w:ascii="宋体" w:hAnsi="宋体" w:eastAsia="宋体" w:cs="宋体"/>
          <w:sz w:val="21"/>
          <w:szCs w:val="21"/>
        </w:rPr>
        <w:t>二-3财务状况报告（财务报告、或资信证明）</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7"/>
        <w:widowControl/>
        <w:ind w:firstLine="420"/>
      </w:pPr>
      <w:r>
        <w:rPr>
          <w:rFonts w:hint="eastAsia" w:ascii="宋体" w:hAnsi="宋体" w:eastAsia="宋体" w:cs="宋体"/>
          <w:sz w:val="21"/>
          <w:szCs w:val="21"/>
        </w:rPr>
        <w:t>（ ）投标人提供财务报告的</w:t>
      </w:r>
    </w:p>
    <w:p>
      <w:pPr>
        <w:pStyle w:val="7"/>
        <w:widowControl/>
        <w:ind w:firstLine="420"/>
      </w:pPr>
      <w:r>
        <w:rPr>
          <w:rFonts w:hint="eastAsia" w:ascii="宋体" w:hAnsi="宋体" w:eastAsia="宋体" w:cs="宋体"/>
          <w:sz w:val="21"/>
          <w:szCs w:val="21"/>
        </w:rPr>
        <w:t>□企业适用：现附上我方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财务报告复印件，包括资产负债表、利润表、现金流量表、所有者权益变动表（若有）及其附注（若有）、会计师事务所营业执照和注册会计师资格证书，上述证明材料真实有效，否则我方负全部责任。</w:t>
      </w:r>
    </w:p>
    <w:p>
      <w:pPr>
        <w:pStyle w:val="7"/>
        <w:widowControl/>
        <w:ind w:firstLine="420"/>
      </w:pPr>
      <w:r>
        <w:rPr>
          <w:rFonts w:hint="eastAsia" w:ascii="宋体" w:hAnsi="宋体" w:eastAsia="宋体" w:cs="宋体"/>
          <w:sz w:val="21"/>
          <w:szCs w:val="21"/>
        </w:rPr>
        <w:t>□事业单位适用：现附上我方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财务报告复印件，包括资产负债表、收入支出表（或收入费用表）、财政补助收入支出表（若有）、会计师事务所营业执照和注册会计师资格证书，上述证明材料真实有效，否则我方负全部责任。</w:t>
      </w:r>
    </w:p>
    <w:p>
      <w:pPr>
        <w:pStyle w:val="7"/>
        <w:widowControl/>
        <w:ind w:firstLine="420"/>
      </w:pPr>
      <w:r>
        <w:rPr>
          <w:rFonts w:hint="eastAsia" w:ascii="宋体" w:hAnsi="宋体" w:eastAsia="宋体" w:cs="宋体"/>
          <w:sz w:val="21"/>
          <w:szCs w:val="21"/>
        </w:rPr>
        <w:t>□社会团体、民办非企适用：现附上我方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财务报告复印件，包括资产负债表、业务活动表、现金流量表、会计师事务所营业执照和注册会计师资格证书，上述证明材料真实有效，否则我方负全部责任。</w:t>
      </w:r>
    </w:p>
    <w:p>
      <w:pPr>
        <w:pStyle w:val="7"/>
        <w:widowControl/>
        <w:ind w:firstLine="420"/>
      </w:pPr>
      <w:r>
        <w:rPr>
          <w:rFonts w:hint="eastAsia" w:ascii="宋体" w:hAnsi="宋体" w:eastAsia="宋体" w:cs="宋体"/>
          <w:sz w:val="21"/>
          <w:szCs w:val="21"/>
        </w:rPr>
        <w:t>（ ）投标人提供资信证明的</w:t>
      </w:r>
    </w:p>
    <w:p>
      <w:pPr>
        <w:pStyle w:val="7"/>
        <w:widowControl/>
        <w:ind w:firstLine="420"/>
      </w:pPr>
      <w:r>
        <w:rPr>
          <w:rFonts w:hint="eastAsia" w:ascii="宋体" w:hAnsi="宋体" w:eastAsia="宋体" w:cs="宋体"/>
          <w:sz w:val="21"/>
          <w:szCs w:val="21"/>
        </w:rPr>
        <w:t>□非自然人适用（包括企业、事业单位、社会团体和其他组织）：现附上我方银行：（填写“开户银行全称”）出具的资信证明复印件，上述证明材料真实有效，否则我方负全部责任。</w:t>
      </w:r>
    </w:p>
    <w:p>
      <w:pPr>
        <w:pStyle w:val="7"/>
        <w:widowControl/>
        <w:ind w:firstLine="420"/>
      </w:pPr>
      <w:r>
        <w:rPr>
          <w:rFonts w:hint="eastAsia" w:ascii="宋体" w:hAnsi="宋体" w:eastAsia="宋体" w:cs="宋体"/>
          <w:sz w:val="21"/>
          <w:szCs w:val="21"/>
        </w:rPr>
        <w:t>□自然人适用：现附上我方银行：</w:t>
      </w:r>
      <w:r>
        <w:rPr>
          <w:rFonts w:hint="eastAsia" w:ascii="宋体" w:hAnsi="宋体" w:eastAsia="宋体" w:cs="宋体"/>
          <w:sz w:val="21"/>
          <w:szCs w:val="21"/>
          <w:u w:val="single"/>
        </w:rPr>
        <w:t>（填写自然人的“个人账户的开户银行全称”）</w:t>
      </w:r>
      <w:r>
        <w:rPr>
          <w:rFonts w:hint="eastAsia" w:ascii="宋体" w:hAnsi="宋体" w:eastAsia="宋体" w:cs="宋体"/>
          <w:sz w:val="21"/>
          <w:szCs w:val="21"/>
        </w:rPr>
        <w:t>出具的资信证明复印件，上述证明材料真实有效，否则我方负全部责任。</w:t>
      </w:r>
    </w:p>
    <w:p>
      <w:pPr>
        <w:pStyle w:val="7"/>
        <w:widowControl/>
        <w:spacing w:beforeAutospacing="0" w:afterAutospacing="0"/>
      </w:pPr>
      <w:r>
        <w:rPr>
          <w:rFonts w:hint="eastAsia" w:ascii="宋体" w:hAnsi="宋体" w:eastAsia="宋体" w:cs="宋体"/>
          <w:sz w:val="21"/>
          <w:szCs w:val="21"/>
        </w:rPr>
        <w:t>※注意：</w:t>
      </w:r>
    </w:p>
    <w:p>
      <w:pPr>
        <w:pStyle w:val="7"/>
        <w:widowControl/>
        <w:spacing w:beforeAutospacing="0" w:afterAutospacing="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7"/>
        <w:widowControl/>
        <w:spacing w:beforeAutospacing="0" w:afterAutospacing="0"/>
      </w:pPr>
      <w:r>
        <w:rPr>
          <w:rFonts w:hint="eastAsia" w:ascii="宋体" w:hAnsi="宋体" w:eastAsia="宋体" w:cs="宋体"/>
          <w:sz w:val="21"/>
          <w:szCs w:val="21"/>
        </w:rPr>
        <w:t>2、投标人提供的财务报告复印件（成立年限按照投标截止时间推算）应符合下列规定：</w:t>
      </w:r>
    </w:p>
    <w:p>
      <w:pPr>
        <w:pStyle w:val="7"/>
        <w:widowControl/>
        <w:spacing w:beforeAutospacing="0" w:afterAutospacing="0"/>
      </w:pPr>
      <w:r>
        <w:rPr>
          <w:rFonts w:hint="eastAsia" w:ascii="宋体" w:hAnsi="宋体" w:eastAsia="宋体" w:cs="宋体"/>
          <w:sz w:val="21"/>
          <w:szCs w:val="21"/>
        </w:rPr>
        <w:t>2.1成立年限满</w:t>
      </w:r>
      <w:r>
        <w:rPr>
          <w:rFonts w:ascii="Calibri" w:hAnsi="Calibri" w:eastAsia="宋体" w:cs="Calibri"/>
          <w:sz w:val="21"/>
          <w:szCs w:val="21"/>
        </w:rPr>
        <w:t>1</w:t>
      </w:r>
      <w:r>
        <w:rPr>
          <w:rFonts w:hint="eastAsia" w:ascii="宋体" w:hAnsi="宋体" w:eastAsia="宋体" w:cs="宋体"/>
          <w:sz w:val="21"/>
          <w:szCs w:val="21"/>
        </w:rPr>
        <w:t>年及以上的投标人，提供经审计的招标文件规定的年度财务报告。</w:t>
      </w:r>
    </w:p>
    <w:p>
      <w:pPr>
        <w:pStyle w:val="7"/>
        <w:widowControl/>
        <w:spacing w:beforeAutospacing="0" w:afterAutospacing="0"/>
      </w:pPr>
      <w:r>
        <w:rPr>
          <w:rFonts w:hint="eastAsia" w:ascii="宋体" w:hAnsi="宋体" w:eastAsia="宋体" w:cs="宋体"/>
          <w:sz w:val="21"/>
          <w:szCs w:val="21"/>
        </w:rPr>
        <w:t>2.2成立年限满半年但不足</w:t>
      </w:r>
      <w:r>
        <w:rPr>
          <w:rFonts w:ascii="Calibri" w:hAnsi="Calibri" w:eastAsia="宋体" w:cs="Calibri"/>
          <w:sz w:val="21"/>
          <w:szCs w:val="21"/>
        </w:rPr>
        <w:t>1</w:t>
      </w:r>
      <w:r>
        <w:rPr>
          <w:rFonts w:hint="eastAsia" w:ascii="宋体" w:hAnsi="宋体" w:eastAsia="宋体" w:cs="宋体"/>
          <w:sz w:val="21"/>
          <w:szCs w:val="21"/>
        </w:rPr>
        <w:t>年的投标人，提供该半年度中任一季度的季度财务报告或该半年度的半年度财务报告。</w:t>
      </w:r>
    </w:p>
    <w:p>
      <w:pPr>
        <w:pStyle w:val="7"/>
        <w:widowControl/>
        <w:spacing w:beforeAutospacing="0" w:afterAutospacing="0"/>
      </w:pPr>
      <w:r>
        <w:rPr>
          <w:rStyle w:val="10"/>
          <w:rFonts w:hint="eastAsia" w:ascii="宋体" w:hAnsi="宋体" w:eastAsia="宋体" w:cs="宋体"/>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7"/>
        <w:widowControl/>
      </w:pPr>
      <w:r>
        <w:rPr>
          <w:rFonts w:ascii="Calibri" w:hAnsi="Calibri" w:cs="Calibri"/>
          <w:sz w:val="21"/>
          <w:szCs w:val="21"/>
        </w:rPr>
        <w:t> </w:t>
      </w:r>
    </w:p>
    <w:p>
      <w:pPr>
        <w:pStyle w:val="7"/>
        <w:widowControl/>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jc w:val="center"/>
      </w:pPr>
      <w:r>
        <w:rPr>
          <w:rFonts w:hint="eastAsia" w:ascii="宋体" w:hAnsi="宋体" w:eastAsia="宋体" w:cs="宋体"/>
          <w:sz w:val="21"/>
          <w:szCs w:val="21"/>
        </w:rPr>
        <w:t>二</w:t>
      </w:r>
      <w:r>
        <w:rPr>
          <w:rStyle w:val="10"/>
          <w:rFonts w:hint="eastAsia" w:ascii="宋体" w:hAnsi="宋体" w:eastAsia="宋体" w:cs="宋体"/>
          <w:sz w:val="21"/>
          <w:szCs w:val="21"/>
        </w:rPr>
        <w:t>-4依法缴纳税收证明材料</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7"/>
        <w:widowControl/>
        <w:ind w:firstLine="420"/>
      </w:pPr>
      <w:r>
        <w:rPr>
          <w:rFonts w:hint="eastAsia" w:ascii="宋体" w:hAnsi="宋体" w:eastAsia="宋体" w:cs="宋体"/>
          <w:sz w:val="21"/>
          <w:szCs w:val="21"/>
        </w:rPr>
        <w:t>1、依法缴纳税收的投标人</w:t>
      </w:r>
    </w:p>
    <w:p>
      <w:pPr>
        <w:pStyle w:val="7"/>
        <w:widowControl/>
        <w:ind w:firstLine="420"/>
      </w:pPr>
      <w:r>
        <w:rPr>
          <w:rFonts w:hint="eastAsia" w:ascii="宋体" w:hAnsi="宋体" w:eastAsia="宋体" w:cs="宋体"/>
          <w:sz w:val="21"/>
          <w:szCs w:val="21"/>
        </w:rPr>
        <w:t>（ ）法人（包括企业、事业单位和社会团体）的</w:t>
      </w:r>
    </w:p>
    <w:p>
      <w:pPr>
        <w:pStyle w:val="7"/>
        <w:widowControl/>
        <w:ind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w:t>
      </w:r>
      <w:r>
        <w:rPr>
          <w:rFonts w:hint="eastAsia" w:ascii="宋体" w:hAnsi="宋体" w:eastAsia="宋体" w:cs="宋体"/>
          <w:sz w:val="21"/>
          <w:szCs w:val="21"/>
          <w:u w:val="single"/>
        </w:rPr>
        <w:t>（包括但不限于税务机关出具的专用收据、税收缴纳证明或税收代缴银行的缴款收讫凭证）等</w:t>
      </w:r>
      <w:r>
        <w:rPr>
          <w:rFonts w:hint="eastAsia" w:ascii="宋体" w:hAnsi="宋体" w:eastAsia="宋体" w:cs="宋体"/>
          <w:sz w:val="21"/>
          <w:szCs w:val="21"/>
        </w:rPr>
        <w:t>税收凭据复印件，上述证明材料真实有效，否则我方负全部责任。</w:t>
      </w:r>
    </w:p>
    <w:p>
      <w:pPr>
        <w:pStyle w:val="7"/>
        <w:widowControl/>
        <w:ind w:firstLine="420"/>
      </w:pPr>
      <w:r>
        <w:rPr>
          <w:rFonts w:hint="eastAsia" w:ascii="宋体" w:hAnsi="宋体" w:eastAsia="宋体" w:cs="宋体"/>
          <w:sz w:val="21"/>
          <w:szCs w:val="21"/>
        </w:rPr>
        <w:t>（ ）非法人（包括其他组织、自然人）的</w:t>
      </w:r>
    </w:p>
    <w:p>
      <w:pPr>
        <w:pStyle w:val="7"/>
        <w:widowControl/>
        <w:ind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w:t>
      </w:r>
      <w:r>
        <w:rPr>
          <w:rFonts w:hint="eastAsia" w:ascii="宋体" w:hAnsi="宋体" w:eastAsia="宋体" w:cs="宋体"/>
          <w:sz w:val="21"/>
          <w:szCs w:val="21"/>
          <w:u w:val="single"/>
        </w:rPr>
        <w:t>（包括但不限于税务机关出具的专用收据、税收缴纳证明或税收代缴银行的缴款收讫凭证）等</w:t>
      </w:r>
      <w:r>
        <w:rPr>
          <w:rFonts w:hint="eastAsia" w:ascii="宋体" w:hAnsi="宋体" w:eastAsia="宋体" w:cs="宋体"/>
          <w:sz w:val="21"/>
          <w:szCs w:val="21"/>
        </w:rPr>
        <w:t>税收凭据复印件，上述证明材料真实有效，否则我方负全部责任。</w:t>
      </w:r>
    </w:p>
    <w:p>
      <w:pPr>
        <w:pStyle w:val="7"/>
        <w:widowControl/>
        <w:ind w:firstLine="420"/>
      </w:pPr>
      <w:r>
        <w:rPr>
          <w:rFonts w:hint="eastAsia" w:ascii="宋体" w:hAnsi="宋体" w:eastAsia="宋体" w:cs="宋体"/>
          <w:sz w:val="21"/>
          <w:szCs w:val="21"/>
        </w:rPr>
        <w:t>2、依法免税的投标人</w:t>
      </w:r>
    </w:p>
    <w:p>
      <w:pPr>
        <w:pStyle w:val="7"/>
        <w:widowControl/>
        <w:ind w:firstLine="420"/>
      </w:pPr>
      <w:r>
        <w:rPr>
          <w:rFonts w:hint="eastAsia" w:ascii="宋体" w:hAnsi="宋体" w:eastAsia="宋体" w:cs="宋体"/>
          <w:sz w:val="21"/>
          <w:szCs w:val="21"/>
        </w:rPr>
        <w:t>（ ）现附上我方依法免税的证明材料复印件，上述证明材料真实有效，否则我方负全部责任。</w:t>
      </w:r>
    </w:p>
    <w:p>
      <w:pPr>
        <w:pStyle w:val="7"/>
        <w:widowControl/>
        <w:spacing w:beforeAutospacing="0" w:afterAutospacing="0"/>
        <w:rPr>
          <w:rFonts w:ascii="宋体" w:hAnsi="宋体" w:eastAsia="宋体" w:cs="宋体"/>
          <w:sz w:val="21"/>
          <w:szCs w:val="21"/>
        </w:rPr>
      </w:pPr>
    </w:p>
    <w:p>
      <w:pPr>
        <w:pStyle w:val="7"/>
        <w:widowControl/>
        <w:spacing w:beforeAutospacing="0" w:afterAutospacing="0"/>
      </w:pPr>
      <w:r>
        <w:rPr>
          <w:rFonts w:hint="eastAsia" w:ascii="宋体" w:hAnsi="宋体" w:eastAsia="宋体" w:cs="宋体"/>
          <w:sz w:val="21"/>
          <w:szCs w:val="21"/>
        </w:rPr>
        <w:t>※注意：</w:t>
      </w:r>
    </w:p>
    <w:p>
      <w:pPr>
        <w:pStyle w:val="7"/>
        <w:widowControl/>
        <w:spacing w:beforeAutospacing="0" w:afterAutospacing="0"/>
      </w:pPr>
      <w:r>
        <w:rPr>
          <w:rFonts w:hint="eastAsia" w:ascii="宋体" w:hAnsi="宋体" w:eastAsia="宋体" w:cs="宋体"/>
          <w:sz w:val="21"/>
          <w:szCs w:val="21"/>
        </w:rPr>
        <w:t>1、请投标人按照实际情况编制填写，在相应的（）中打“√”，并按照本格式的要求提供相应证明材料的复印件。</w:t>
      </w:r>
    </w:p>
    <w:p>
      <w:pPr>
        <w:pStyle w:val="7"/>
        <w:widowControl/>
        <w:spacing w:beforeAutospacing="0" w:afterAutospacing="0"/>
      </w:pPr>
      <w:r>
        <w:rPr>
          <w:rFonts w:hint="eastAsia" w:ascii="宋体" w:hAnsi="宋体" w:eastAsia="宋体" w:cs="宋体"/>
          <w:sz w:val="21"/>
          <w:szCs w:val="21"/>
        </w:rPr>
        <w:t>2、投标人提供的税收缴纳凭据复印件应符合下列规定：</w:t>
      </w:r>
    </w:p>
    <w:p>
      <w:pPr>
        <w:pStyle w:val="7"/>
        <w:widowControl/>
        <w:spacing w:beforeAutospacing="0" w:afterAutospacing="0"/>
      </w:pPr>
      <w:r>
        <w:rPr>
          <w:rFonts w:hint="eastAsia" w:ascii="宋体" w:hAnsi="宋体" w:eastAsia="宋体" w:cs="宋体"/>
          <w:sz w:val="21"/>
          <w:szCs w:val="21"/>
        </w:rPr>
        <w:t>2.1投标截止时间前（不含投标截止时间的当月）已依法缴纳税收的投标人，提供投标截止时间前六个月（不含投标截止时间的当月）中任一月份的税收缴纳凭据复印件。</w:t>
      </w:r>
    </w:p>
    <w:p>
      <w:pPr>
        <w:pStyle w:val="7"/>
        <w:widowControl/>
        <w:spacing w:beforeAutospacing="0" w:afterAutospacing="0"/>
      </w:pPr>
      <w:r>
        <w:rPr>
          <w:rFonts w:hint="eastAsia" w:ascii="宋体" w:hAnsi="宋体" w:eastAsia="宋体" w:cs="宋体"/>
          <w:sz w:val="21"/>
          <w:szCs w:val="21"/>
        </w:rPr>
        <w:t>2.2投标截止时间的当月成立且已依法缴纳税收的投标人，提供投标截止时间当月的税收缴纳凭据复印件。</w:t>
      </w:r>
    </w:p>
    <w:p>
      <w:pPr>
        <w:pStyle w:val="7"/>
        <w:widowControl/>
        <w:spacing w:beforeAutospacing="0" w:afterAutospacing="0"/>
      </w:pPr>
      <w:r>
        <w:rPr>
          <w:rFonts w:hint="eastAsia" w:ascii="宋体" w:hAnsi="宋体" w:eastAsia="宋体" w:cs="宋体"/>
          <w:sz w:val="21"/>
          <w:szCs w:val="21"/>
        </w:rPr>
        <w:t>2.3投标截止时间的当月成立但因税务机关原因导致其尚未依法缴纳税收的投标人，提供依法缴纳税收承诺书（格式自拟）的，视同满足本项资格条件要求。</w:t>
      </w:r>
    </w:p>
    <w:p>
      <w:pPr>
        <w:pStyle w:val="7"/>
        <w:widowControl/>
        <w:spacing w:beforeAutospacing="0" w:afterAutospacing="0"/>
      </w:pPr>
      <w:r>
        <w:rPr>
          <w:rFonts w:hint="eastAsia" w:ascii="宋体" w:hAnsi="宋体" w:eastAsia="宋体" w:cs="宋体"/>
          <w:sz w:val="21"/>
          <w:szCs w:val="21"/>
        </w:rPr>
        <w:t>3、若为依法免税范围的投标人，提供依法免税证明材料的，视同满足本项资格条件要求。 </w:t>
      </w:r>
    </w:p>
    <w:p>
      <w:pPr>
        <w:pStyle w:val="7"/>
        <w:widowControl/>
      </w:pPr>
      <w:r>
        <w:rPr>
          <w:rFonts w:ascii="Calibri" w:hAnsi="Calibri" w:cs="Calibri"/>
          <w:sz w:val="21"/>
          <w:szCs w:val="21"/>
        </w:rPr>
        <w:t>  </w:t>
      </w:r>
    </w:p>
    <w:p>
      <w:pPr>
        <w:pStyle w:val="7"/>
        <w:widowControl/>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pPr>
      <w:r>
        <w:rPr>
          <w:rFonts w:hint="eastAsia" w:ascii="宋体" w:hAnsi="宋体" w:eastAsia="宋体" w:cs="宋体"/>
          <w:sz w:val="21"/>
          <w:szCs w:val="21"/>
        </w:rPr>
        <w:t> </w:t>
      </w:r>
    </w:p>
    <w:p>
      <w:pPr>
        <w:pStyle w:val="7"/>
        <w:widowControl/>
        <w:jc w:val="center"/>
      </w:pPr>
      <w:r>
        <w:rPr>
          <w:rStyle w:val="10"/>
          <w:rFonts w:hint="eastAsia" w:ascii="宋体" w:hAnsi="宋体" w:eastAsia="宋体" w:cs="宋体"/>
          <w:sz w:val="21"/>
          <w:szCs w:val="21"/>
        </w:rPr>
        <w:t>二-5依法缴纳社会保障资金证明材料</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7"/>
        <w:widowControl/>
        <w:ind w:firstLine="420"/>
      </w:pPr>
      <w:r>
        <w:rPr>
          <w:rFonts w:hint="eastAsia" w:ascii="宋体" w:hAnsi="宋体" w:eastAsia="宋体" w:cs="宋体"/>
          <w:sz w:val="21"/>
          <w:szCs w:val="21"/>
        </w:rPr>
        <w:t>1、依法缴纳社会保障资金的投标人</w:t>
      </w:r>
    </w:p>
    <w:p>
      <w:pPr>
        <w:pStyle w:val="7"/>
        <w:widowControl/>
        <w:ind w:firstLine="420"/>
      </w:pPr>
      <w:r>
        <w:rPr>
          <w:rFonts w:hint="eastAsia" w:ascii="宋体" w:hAnsi="宋体" w:eastAsia="宋体" w:cs="宋体"/>
          <w:sz w:val="21"/>
          <w:szCs w:val="21"/>
        </w:rPr>
        <w:t>（ ）法人（包括企业、事业单位和社会团体）的</w:t>
      </w:r>
    </w:p>
    <w:p>
      <w:pPr>
        <w:pStyle w:val="7"/>
        <w:widowControl/>
        <w:ind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7"/>
        <w:widowControl/>
        <w:ind w:firstLine="420"/>
      </w:pPr>
      <w:r>
        <w:rPr>
          <w:rFonts w:hint="eastAsia" w:ascii="宋体" w:hAnsi="宋体" w:eastAsia="宋体" w:cs="宋体"/>
          <w:sz w:val="21"/>
          <w:szCs w:val="21"/>
        </w:rPr>
        <w:t>（ ）非法人（包括其他组织、自然人）的</w:t>
      </w:r>
    </w:p>
    <w:p>
      <w:pPr>
        <w:pStyle w:val="7"/>
        <w:widowControl/>
        <w:ind w:firstLine="420"/>
      </w:pPr>
      <w:r>
        <w:rPr>
          <w:rFonts w:hint="eastAsia" w:ascii="宋体" w:hAnsi="宋体" w:eastAsia="宋体" w:cs="宋体"/>
          <w:sz w:val="21"/>
          <w:szCs w:val="21"/>
        </w:rPr>
        <w:t>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7"/>
        <w:widowControl/>
        <w:ind w:firstLine="420"/>
      </w:pPr>
      <w:r>
        <w:rPr>
          <w:rFonts w:hint="eastAsia" w:ascii="宋体" w:hAnsi="宋体" w:eastAsia="宋体" w:cs="宋体"/>
          <w:sz w:val="21"/>
          <w:szCs w:val="21"/>
        </w:rPr>
        <w:t>2、依法不需要缴纳或暂缓缴纳社会保障资金的投标人</w:t>
      </w:r>
    </w:p>
    <w:p>
      <w:pPr>
        <w:pStyle w:val="7"/>
        <w:widowControl/>
        <w:ind w:firstLine="420"/>
      </w:pPr>
      <w:r>
        <w:rPr>
          <w:rFonts w:hint="eastAsia" w:ascii="宋体" w:hAnsi="宋体" w:eastAsia="宋体" w:cs="宋体"/>
          <w:sz w:val="21"/>
          <w:szCs w:val="21"/>
        </w:rPr>
        <w:t>（ ）现附上我方依法不需要缴纳或暂缓缴纳社会保障资金证明材料复印件，上述证明材料真实有效，否则我方负全部责任。</w:t>
      </w:r>
    </w:p>
    <w:p>
      <w:pPr>
        <w:pStyle w:val="7"/>
        <w:widowControl/>
        <w:spacing w:beforeAutospacing="0" w:afterAutospacing="0"/>
      </w:pPr>
      <w:r>
        <w:rPr>
          <w:rFonts w:hint="eastAsia" w:ascii="宋体" w:hAnsi="宋体" w:eastAsia="宋体" w:cs="宋体"/>
          <w:sz w:val="21"/>
          <w:szCs w:val="21"/>
        </w:rPr>
        <w:t>※注意：</w:t>
      </w:r>
    </w:p>
    <w:p>
      <w:pPr>
        <w:pStyle w:val="7"/>
        <w:widowControl/>
        <w:spacing w:beforeAutospacing="0" w:afterAutospacing="0"/>
      </w:pPr>
      <w:r>
        <w:rPr>
          <w:rFonts w:hint="eastAsia" w:ascii="宋体" w:hAnsi="宋体" w:eastAsia="宋体" w:cs="宋体"/>
          <w:sz w:val="21"/>
          <w:szCs w:val="21"/>
        </w:rPr>
        <w:t>1、请投标人按照实际情况编制填写，在相应的（）中打“√”，并按照本格式的要求提供相应证明材料的复印件。</w:t>
      </w:r>
    </w:p>
    <w:p>
      <w:pPr>
        <w:pStyle w:val="7"/>
        <w:widowControl/>
        <w:spacing w:beforeAutospacing="0" w:afterAutospacing="0"/>
      </w:pPr>
      <w:r>
        <w:rPr>
          <w:rFonts w:hint="eastAsia" w:ascii="宋体" w:hAnsi="宋体" w:eastAsia="宋体" w:cs="宋体"/>
          <w:sz w:val="21"/>
          <w:szCs w:val="21"/>
        </w:rPr>
        <w:t>2、投标人提供的社会保障资金缴纳凭据复印件应符合下列规定：</w:t>
      </w:r>
    </w:p>
    <w:p>
      <w:pPr>
        <w:pStyle w:val="7"/>
        <w:widowControl/>
        <w:spacing w:beforeAutospacing="0" w:afterAutospacing="0"/>
      </w:pPr>
      <w:r>
        <w:rPr>
          <w:rFonts w:hint="eastAsia" w:ascii="宋体" w:hAnsi="宋体" w:eastAsia="宋体" w:cs="宋体"/>
          <w:sz w:val="21"/>
          <w:szCs w:val="21"/>
        </w:rPr>
        <w:t>2.1投标截止时间前（不含投标截止时间的当月）已依法缴纳社会保障资金的投标人，提供投标截止时间前六个月（不含投标截止时间的当月）中任一月份的社会保障资金缴纳凭据复印件。</w:t>
      </w:r>
    </w:p>
    <w:p>
      <w:pPr>
        <w:pStyle w:val="7"/>
        <w:widowControl/>
        <w:spacing w:beforeAutospacing="0" w:afterAutospacing="0"/>
      </w:pPr>
      <w:r>
        <w:rPr>
          <w:rFonts w:hint="eastAsia" w:ascii="宋体" w:hAnsi="宋体" w:eastAsia="宋体" w:cs="宋体"/>
          <w:sz w:val="21"/>
          <w:szCs w:val="21"/>
        </w:rPr>
        <w:t>2.2投标截止时间的当月成立且已依法缴纳社会保障资金的投标人，提供投标截止时间当月的社会保障资金凭据复印件。</w:t>
      </w:r>
    </w:p>
    <w:p>
      <w:pPr>
        <w:pStyle w:val="7"/>
        <w:widowControl/>
        <w:spacing w:beforeAutospacing="0" w:afterAutospacing="0"/>
      </w:pPr>
      <w:r>
        <w:rPr>
          <w:rFonts w:hint="eastAsia" w:ascii="宋体" w:hAnsi="宋体" w:eastAsia="宋体" w:cs="宋体"/>
          <w:sz w:val="21"/>
          <w:szCs w:val="21"/>
        </w:rPr>
        <w:t>2.3投标截止时间的当月成立但因税务机关</w:t>
      </w:r>
      <w:r>
        <w:rPr>
          <w:rFonts w:ascii="Calibri" w:hAnsi="Calibri" w:eastAsia="宋体" w:cs="Calibri"/>
          <w:sz w:val="21"/>
          <w:szCs w:val="21"/>
        </w:rPr>
        <w:t>/</w:t>
      </w:r>
      <w:r>
        <w:rPr>
          <w:rFonts w:hint="eastAsia" w:ascii="宋体" w:hAnsi="宋体" w:eastAsia="宋体" w:cs="宋体"/>
          <w:sz w:val="21"/>
          <w:szCs w:val="21"/>
        </w:rPr>
        <w:t>社会保障资金管理机关原因导致其尚未依法缴纳社会保障资金的投标人，提供依法缴纳社会保障资金承诺书（格式自拟）的，视同满足本项资格条件要求。</w:t>
      </w:r>
      <w:r>
        <w:rPr>
          <w:rFonts w:hint="eastAsia" w:ascii="宋体" w:hAnsi="宋体" w:eastAsia="宋体" w:cs="宋体"/>
          <w:sz w:val="21"/>
          <w:szCs w:val="21"/>
        </w:rPr>
        <w:br w:type="textWrapping"/>
      </w:r>
      <w:r>
        <w:rPr>
          <w:rFonts w:hint="eastAsia" w:ascii="宋体" w:hAnsi="宋体" w:eastAsia="宋体" w:cs="宋体"/>
          <w:sz w:val="21"/>
          <w:szCs w:val="21"/>
        </w:rPr>
        <w:t>3、若为依法不需要缴纳或暂缓缴纳社会保障资金的投标人，提供依法不需要缴纳或暂缓缴纳社会保障资金证明材料的，视同满足本项资格条件要求。 </w:t>
      </w:r>
    </w:p>
    <w:p>
      <w:pPr>
        <w:pStyle w:val="7"/>
        <w:widowControl/>
        <w:rPr>
          <w:rFonts w:ascii="宋体" w:hAnsi="宋体" w:eastAsia="宋体" w:cs="宋体"/>
          <w:sz w:val="21"/>
          <w:szCs w:val="21"/>
        </w:rPr>
      </w:pPr>
    </w:p>
    <w:p>
      <w:pPr>
        <w:pStyle w:val="7"/>
        <w:widowControl/>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jc w:val="center"/>
      </w:pPr>
      <w:r>
        <w:rPr>
          <w:rFonts w:hint="eastAsia" w:ascii="宋体" w:hAnsi="宋体" w:eastAsia="宋体" w:cs="宋体"/>
          <w:sz w:val="21"/>
          <w:szCs w:val="21"/>
        </w:rPr>
        <w:t>二</w:t>
      </w:r>
      <w:r>
        <w:rPr>
          <w:rStyle w:val="10"/>
          <w:rFonts w:hint="eastAsia" w:ascii="宋体" w:hAnsi="宋体" w:eastAsia="宋体" w:cs="宋体"/>
          <w:sz w:val="21"/>
          <w:szCs w:val="21"/>
        </w:rPr>
        <w:t>-6具备履行合同所必需设备和专业技术能力的声明函（若有）</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7"/>
        <w:widowControl/>
        <w:ind w:firstLine="420"/>
      </w:pPr>
      <w:r>
        <w:rPr>
          <w:rFonts w:hint="eastAsia" w:ascii="宋体" w:hAnsi="宋体" w:eastAsia="宋体" w:cs="宋体"/>
          <w:sz w:val="21"/>
          <w:szCs w:val="21"/>
        </w:rPr>
        <w:t>我方具备履行合同所必需的设备和专业技术能力，否则产生不利后果由我方承担责任。</w:t>
      </w:r>
    </w:p>
    <w:p>
      <w:pPr>
        <w:pStyle w:val="7"/>
        <w:widowControl/>
        <w:ind w:firstLine="420"/>
      </w:pPr>
      <w:r>
        <w:rPr>
          <w:rFonts w:hint="eastAsia" w:ascii="宋体" w:hAnsi="宋体" w:eastAsia="宋体" w:cs="宋体"/>
          <w:sz w:val="21"/>
          <w:szCs w:val="21"/>
        </w:rPr>
        <w:t>特此声明。</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※注意：</w:t>
      </w:r>
    </w:p>
    <w:p>
      <w:pPr>
        <w:pStyle w:val="7"/>
        <w:widowControl/>
      </w:pPr>
      <w:r>
        <w:rPr>
          <w:rFonts w:hint="eastAsia" w:ascii="宋体" w:hAnsi="宋体" w:eastAsia="宋体" w:cs="宋体"/>
          <w:sz w:val="21"/>
          <w:szCs w:val="21"/>
        </w:rPr>
        <w:t>1、招标文件未要求投标人提供“具备履行合同所必需的设备和专业技术能力专项证明材料”的，投标人应提供本声明函。</w:t>
      </w:r>
    </w:p>
    <w:p>
      <w:pPr>
        <w:pStyle w:val="7"/>
        <w:widowControl/>
      </w:pPr>
      <w:r>
        <w:rPr>
          <w:rFonts w:hint="eastAsia" w:ascii="宋体" w:hAnsi="宋体" w:eastAsia="宋体" w:cs="宋体"/>
          <w:sz w:val="21"/>
          <w:szCs w:val="21"/>
        </w:rPr>
        <w:t>2、招标文件要求投标人提供“具备履行合同所必需的设备和专业技术能力专项证明材料”的，投标人可不提供本声明函。</w:t>
      </w:r>
    </w:p>
    <w:p>
      <w:pPr>
        <w:pStyle w:val="7"/>
        <w:widowControl/>
      </w:pPr>
      <w:r>
        <w:rPr>
          <w:rFonts w:hint="eastAsia" w:ascii="宋体" w:hAnsi="宋体" w:eastAsia="宋体" w:cs="宋体"/>
          <w:sz w:val="21"/>
          <w:szCs w:val="21"/>
        </w:rPr>
        <w:t>3、请投标人根据实际情况如实声明，否则</w:t>
      </w:r>
      <w:r>
        <w:rPr>
          <w:rStyle w:val="10"/>
          <w:rFonts w:hint="eastAsia" w:ascii="宋体" w:hAnsi="宋体" w:eastAsia="宋体" w:cs="宋体"/>
          <w:sz w:val="21"/>
          <w:szCs w:val="21"/>
        </w:rPr>
        <w:t>视为提供虚假材料。</w:t>
      </w:r>
    </w:p>
    <w:p>
      <w:pPr>
        <w:pStyle w:val="7"/>
        <w:widowControl/>
      </w:pPr>
      <w:r>
        <w:rPr>
          <w:rFonts w:ascii="Calibri" w:hAnsi="Calibri" w:cs="Calibri"/>
          <w:sz w:val="21"/>
          <w:szCs w:val="21"/>
        </w:rPr>
        <w:t> </w:t>
      </w:r>
    </w:p>
    <w:p>
      <w:pPr>
        <w:pStyle w:val="7"/>
        <w:widowControl/>
      </w:pPr>
      <w:r>
        <w:rPr>
          <w:rFonts w:ascii="Calibri" w:hAnsi="Calibri" w:cs="Calibri"/>
          <w:sz w:val="21"/>
          <w:szCs w:val="21"/>
        </w:rPr>
        <w:t> </w:t>
      </w:r>
    </w:p>
    <w:p>
      <w:pPr>
        <w:pStyle w:val="7"/>
        <w:widowControl/>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pPr>
      <w:r>
        <w:rPr>
          <w:rFonts w:hint="eastAsia" w:ascii="宋体" w:hAnsi="宋体" w:eastAsia="宋体" w:cs="宋体"/>
          <w:sz w:val="21"/>
          <w:szCs w:val="21"/>
        </w:rPr>
        <w:t> </w:t>
      </w:r>
    </w:p>
    <w:p>
      <w:pPr>
        <w:pStyle w:val="7"/>
        <w:widowControl/>
        <w:rPr>
          <w:rFonts w:ascii="宋体" w:hAnsi="宋体" w:eastAsia="宋体" w:cs="宋体"/>
          <w:sz w:val="21"/>
          <w:szCs w:val="21"/>
        </w:rPr>
      </w:pPr>
      <w:r>
        <w:rPr>
          <w:rFonts w:hint="eastAsia" w:ascii="宋体" w:hAnsi="宋体" w:eastAsia="宋体" w:cs="宋体"/>
          <w:sz w:val="21"/>
          <w:szCs w:val="21"/>
        </w:rPr>
        <w:t> </w:t>
      </w:r>
    </w:p>
    <w:p>
      <w:pPr>
        <w:pStyle w:val="7"/>
        <w:widowControl/>
        <w:rPr>
          <w:rFonts w:ascii="宋体" w:hAnsi="宋体" w:eastAsia="宋体" w:cs="宋体"/>
          <w:sz w:val="21"/>
          <w:szCs w:val="21"/>
        </w:rPr>
      </w:pPr>
    </w:p>
    <w:p>
      <w:pPr>
        <w:pStyle w:val="7"/>
        <w:widowControl/>
        <w:rPr>
          <w:rFonts w:ascii="宋体" w:hAnsi="宋体" w:eastAsia="宋体" w:cs="宋体"/>
          <w:sz w:val="21"/>
          <w:szCs w:val="21"/>
        </w:rPr>
      </w:pPr>
    </w:p>
    <w:p>
      <w:pPr>
        <w:pStyle w:val="7"/>
        <w:widowControl/>
        <w:rPr>
          <w:rFonts w:ascii="宋体" w:hAnsi="宋体" w:eastAsia="宋体" w:cs="宋体"/>
          <w:sz w:val="21"/>
          <w:szCs w:val="21"/>
        </w:rPr>
      </w:pPr>
    </w:p>
    <w:p>
      <w:pPr>
        <w:pStyle w:val="7"/>
        <w:widowControl/>
        <w:rPr>
          <w:rFonts w:ascii="宋体" w:hAnsi="宋体" w:eastAsia="宋体" w:cs="宋体"/>
          <w:sz w:val="21"/>
          <w:szCs w:val="21"/>
        </w:rPr>
      </w:pPr>
    </w:p>
    <w:p>
      <w:pPr>
        <w:pStyle w:val="7"/>
        <w:widowControl/>
        <w:rPr>
          <w:rFonts w:ascii="宋体" w:hAnsi="宋体" w:eastAsia="宋体" w:cs="宋体"/>
          <w:sz w:val="21"/>
          <w:szCs w:val="21"/>
        </w:rPr>
      </w:pPr>
    </w:p>
    <w:p>
      <w:pPr>
        <w:pStyle w:val="7"/>
        <w:widowControl/>
        <w:rPr>
          <w:rFonts w:ascii="宋体" w:hAnsi="宋体" w:eastAsia="宋体" w:cs="宋体"/>
          <w:sz w:val="21"/>
          <w:szCs w:val="21"/>
        </w:rPr>
      </w:pPr>
    </w:p>
    <w:p>
      <w:pPr>
        <w:pStyle w:val="7"/>
        <w:widowControl/>
        <w:rPr>
          <w:rFonts w:ascii="宋体" w:hAnsi="宋体" w:eastAsia="宋体" w:cs="宋体"/>
          <w:sz w:val="21"/>
          <w:szCs w:val="21"/>
        </w:rPr>
      </w:pPr>
    </w:p>
    <w:p>
      <w:pPr>
        <w:pStyle w:val="7"/>
        <w:widowControl/>
        <w:jc w:val="center"/>
      </w:pPr>
      <w:r>
        <w:rPr>
          <w:rFonts w:hint="eastAsia" w:ascii="宋体" w:hAnsi="宋体" w:eastAsia="宋体" w:cs="宋体"/>
          <w:sz w:val="21"/>
          <w:szCs w:val="21"/>
        </w:rPr>
        <w:t>二</w:t>
      </w:r>
      <w:r>
        <w:rPr>
          <w:rStyle w:val="10"/>
          <w:rFonts w:hint="eastAsia" w:ascii="宋体" w:hAnsi="宋体" w:eastAsia="宋体" w:cs="宋体"/>
          <w:sz w:val="21"/>
          <w:szCs w:val="21"/>
        </w:rPr>
        <w:t>-7参加采购活动前三年内在经营活动中没有重大违法记录书面声明</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7"/>
        <w:widowControl/>
        <w:ind w:firstLine="420"/>
      </w:pPr>
      <w:r>
        <w:rPr>
          <w:rFonts w:hint="eastAsia" w:ascii="宋体" w:hAnsi="宋体" w:eastAsia="宋体" w:cs="宋体"/>
          <w:sz w:val="21"/>
          <w:szCs w:val="21"/>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7"/>
        <w:widowControl/>
        <w:ind w:firstLine="420"/>
      </w:pPr>
      <w:r>
        <w:rPr>
          <w:rFonts w:hint="eastAsia" w:ascii="宋体" w:hAnsi="宋体" w:eastAsia="宋体" w:cs="宋体"/>
          <w:sz w:val="21"/>
          <w:szCs w:val="21"/>
        </w:rPr>
        <w:t>特此声明。</w:t>
      </w:r>
    </w:p>
    <w:p>
      <w:pPr>
        <w:pStyle w:val="7"/>
        <w:widowControl/>
      </w:pPr>
      <w:r>
        <w:rPr>
          <w:rFonts w:ascii="Calibri" w:hAnsi="Calibri" w:cs="Calibri"/>
          <w:sz w:val="21"/>
          <w:szCs w:val="21"/>
        </w:rPr>
        <w:t> </w:t>
      </w:r>
    </w:p>
    <w:p>
      <w:pPr>
        <w:pStyle w:val="7"/>
        <w:widowControl/>
      </w:pPr>
      <w:r>
        <w:rPr>
          <w:rFonts w:hint="eastAsia" w:ascii="宋体" w:hAnsi="宋体" w:eastAsia="宋体" w:cs="宋体"/>
          <w:sz w:val="21"/>
          <w:szCs w:val="21"/>
        </w:rPr>
        <w:t>※注意：</w:t>
      </w:r>
    </w:p>
    <w:p>
      <w:pPr>
        <w:pStyle w:val="7"/>
        <w:widowControl/>
      </w:pPr>
      <w:r>
        <w:rPr>
          <w:rFonts w:hint="eastAsia" w:ascii="宋体" w:hAnsi="宋体" w:eastAsia="宋体" w:cs="宋体"/>
          <w:sz w:val="21"/>
          <w:szCs w:val="21"/>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7"/>
        <w:widowControl/>
      </w:pPr>
      <w:r>
        <w:rPr>
          <w:rFonts w:hint="eastAsia" w:ascii="宋体" w:hAnsi="宋体" w:eastAsia="宋体" w:cs="宋体"/>
          <w:sz w:val="21"/>
          <w:szCs w:val="21"/>
        </w:rPr>
        <w:t>  请投标人根据实际情况如实声明，否则</w:t>
      </w:r>
      <w:r>
        <w:rPr>
          <w:rStyle w:val="10"/>
          <w:rFonts w:hint="eastAsia" w:ascii="宋体" w:hAnsi="宋体" w:eastAsia="宋体" w:cs="宋体"/>
          <w:sz w:val="21"/>
          <w:szCs w:val="21"/>
        </w:rPr>
        <w:t>视为提供虚假材料。</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jc w:val="center"/>
      </w:pPr>
      <w:r>
        <w:rPr>
          <w:rFonts w:ascii="Calibri" w:hAnsi="Calibri" w:cs="Calibri"/>
          <w:sz w:val="21"/>
          <w:szCs w:val="21"/>
        </w:rPr>
        <w:br w:type="textWrapping"/>
      </w:r>
      <w:r>
        <w:rPr>
          <w:rFonts w:hint="eastAsia" w:ascii="宋体" w:hAnsi="宋体" w:eastAsia="宋体" w:cs="宋体"/>
          <w:sz w:val="21"/>
          <w:szCs w:val="21"/>
        </w:rPr>
        <w:t>二</w:t>
      </w:r>
      <w:r>
        <w:rPr>
          <w:rStyle w:val="10"/>
          <w:rFonts w:hint="eastAsia" w:ascii="宋体" w:hAnsi="宋体" w:eastAsia="宋体" w:cs="宋体"/>
          <w:sz w:val="21"/>
          <w:szCs w:val="21"/>
        </w:rPr>
        <w:t>-8信用记录查询提示</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rPr>
        <w:t> </w:t>
      </w:r>
      <w:r>
        <w:rPr>
          <w:rFonts w:hint="eastAsia" w:ascii="宋体" w:hAnsi="宋体" w:eastAsia="宋体" w:cs="宋体"/>
          <w:sz w:val="21"/>
          <w:szCs w:val="21"/>
        </w:rPr>
        <w:t> 1、由资格审查小组通过网站查询并打印投标人的信用记录。</w:t>
      </w:r>
    </w:p>
    <w:p>
      <w:pPr>
        <w:pStyle w:val="7"/>
        <w:widowControl/>
      </w:pPr>
      <w:r>
        <w:rPr>
          <w:rFonts w:hint="eastAsia" w:ascii="宋体" w:hAnsi="宋体" w:eastAsia="宋体" w:cs="宋体"/>
          <w:sz w:val="21"/>
          <w:szCs w:val="21"/>
        </w:rPr>
        <w:t>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7"/>
        <w:widowControl/>
      </w:pPr>
      <w:r>
        <w:rPr>
          <w:rFonts w:hint="eastAsia" w:ascii="宋体" w:hAnsi="宋体" w:eastAsia="宋体" w:cs="宋体"/>
          <w:sz w:val="21"/>
          <w:szCs w:val="21"/>
        </w:rPr>
        <w:t>  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7"/>
        <w:widowControl/>
      </w:pPr>
    </w:p>
    <w:p>
      <w:pPr>
        <w:pStyle w:val="2"/>
        <w:widowControl/>
        <w:spacing w:before="150" w:beforeAutospacing="0" w:after="150" w:afterAutospacing="0"/>
        <w:jc w:val="center"/>
        <w:rPr>
          <w:rFonts w:hint="default"/>
        </w:rPr>
      </w:pPr>
      <w:r>
        <w:rPr>
          <w:rStyle w:val="10"/>
          <w:rFonts w:cs="宋体"/>
          <w:b/>
        </w:rPr>
        <w:t>二-9中小企业声明函</w:t>
      </w:r>
    </w:p>
    <w:p>
      <w:pPr>
        <w:pStyle w:val="7"/>
        <w:widowControl/>
        <w:spacing w:after="240" w:afterAutospacing="0"/>
        <w:jc w:val="center"/>
      </w:pPr>
      <w:r>
        <w:rPr>
          <w:rStyle w:val="10"/>
          <w:rFonts w:hint="eastAsia" w:ascii="宋体" w:hAnsi="宋体" w:eastAsia="宋体" w:cs="宋体"/>
          <w:sz w:val="21"/>
          <w:szCs w:val="21"/>
        </w:rPr>
        <w:t>（以资格条件落实中小企业扶持政策时适用，若有）</w:t>
      </w:r>
    </w:p>
    <w:p>
      <w:pPr>
        <w:pStyle w:val="7"/>
        <w:widowControl/>
        <w:jc w:val="center"/>
      </w:pPr>
      <w:r>
        <w:rPr>
          <w:rStyle w:val="10"/>
          <w:rFonts w:hint="eastAsia" w:ascii="宋体" w:hAnsi="宋体" w:eastAsia="宋体" w:cs="宋体"/>
          <w:sz w:val="21"/>
          <w:szCs w:val="21"/>
        </w:rPr>
        <w:t>中小企业声明函（货物）</w:t>
      </w:r>
    </w:p>
    <w:p>
      <w:pPr>
        <w:pStyle w:val="7"/>
        <w:widowControl/>
        <w:spacing w:before="75" w:beforeAutospacing="0" w:after="75" w:afterAutospacing="0"/>
        <w:ind w:firstLine="420"/>
      </w:pPr>
      <w:r>
        <w:rPr>
          <w:rFonts w:hint="eastAsia" w:ascii="宋体" w:hAnsi="宋体" w:eastAsia="宋体" w:cs="宋体"/>
          <w:sz w:val="21"/>
          <w:szCs w:val="21"/>
        </w:rPr>
        <w:t>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采购活动，提供的货物全部由符合政策要求的中小企业制造。相关企业（含联合体中的中小企业、签订分包意向协议的中小企业）的具体情况如下：</w:t>
      </w:r>
    </w:p>
    <w:p>
      <w:pPr>
        <w:pStyle w:val="7"/>
        <w:widowControl/>
        <w:spacing w:before="75" w:beforeAutospacing="0" w:after="75" w:afterAutospacing="0"/>
        <w:ind w:firstLine="420"/>
      </w:pPr>
      <w:r>
        <w:rPr>
          <w:rFonts w:hint="eastAsia" w:ascii="宋体" w:hAnsi="宋体" w:eastAsia="宋体" w:cs="宋体"/>
          <w:sz w:val="21"/>
          <w:szCs w:val="21"/>
        </w:rPr>
        <w:t>1. </w:t>
      </w:r>
      <w:r>
        <w:rPr>
          <w:rFonts w:hint="eastAsia" w:ascii="宋体" w:hAnsi="宋体" w:eastAsia="宋体" w:cs="宋体"/>
          <w:sz w:val="21"/>
          <w:szCs w:val="21"/>
          <w:u w:val="single"/>
        </w:rPr>
        <w:t> （标的名称） </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（采购文件中明确的所属行业）行业</w:t>
      </w:r>
      <w:r>
        <w:rPr>
          <w:rFonts w:hint="eastAsia" w:ascii="宋体" w:hAnsi="宋体" w:eastAsia="宋体" w:cs="宋体"/>
          <w:sz w:val="21"/>
          <w:szCs w:val="21"/>
        </w:rPr>
        <w:t>；制造商为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p>
    <w:p>
      <w:pPr>
        <w:pStyle w:val="7"/>
        <w:widowControl/>
        <w:spacing w:before="75" w:beforeAutospacing="0" w:after="75" w:afterAutospacing="0"/>
        <w:ind w:firstLine="420"/>
      </w:pPr>
      <w:r>
        <w:rPr>
          <w:rFonts w:hint="eastAsia" w:ascii="宋体" w:hAnsi="宋体" w:eastAsia="宋体" w:cs="宋体"/>
          <w:sz w:val="21"/>
          <w:szCs w:val="21"/>
        </w:rPr>
        <w:t>2. </w:t>
      </w:r>
      <w:r>
        <w:rPr>
          <w:rFonts w:hint="eastAsia" w:ascii="宋体" w:hAnsi="宋体" w:eastAsia="宋体" w:cs="宋体"/>
          <w:sz w:val="21"/>
          <w:szCs w:val="21"/>
          <w:u w:val="single"/>
        </w:rPr>
        <w:t> （标的名称） </w:t>
      </w:r>
      <w:r>
        <w:rPr>
          <w:rFonts w:hint="eastAsia" w:ascii="宋体" w:hAnsi="宋体" w:eastAsia="宋体" w:cs="宋体"/>
          <w:sz w:val="21"/>
          <w:szCs w:val="21"/>
        </w:rPr>
        <w:t>，属于</w:t>
      </w:r>
      <w:r>
        <w:rPr>
          <w:rFonts w:hint="eastAsia" w:ascii="宋体" w:hAnsi="宋体" w:eastAsia="宋体" w:cs="宋体"/>
          <w:sz w:val="21"/>
          <w:szCs w:val="21"/>
          <w:u w:val="single"/>
        </w:rPr>
        <w:t> （采购文件中明确的所属行业 ）行业；</w:t>
      </w:r>
      <w:r>
        <w:rPr>
          <w:rFonts w:hint="eastAsia" w:ascii="宋体" w:hAnsi="宋体" w:eastAsia="宋体" w:cs="宋体"/>
          <w:sz w:val="21"/>
          <w:szCs w:val="21"/>
        </w:rPr>
        <w:t>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p>
    <w:p>
      <w:pPr>
        <w:pStyle w:val="7"/>
        <w:widowControl/>
        <w:spacing w:before="75" w:beforeAutospacing="0" w:after="75" w:afterAutospacing="0"/>
        <w:ind w:firstLine="420"/>
      </w:pPr>
      <w:r>
        <w:rPr>
          <w:rFonts w:ascii="Calibri" w:hAnsi="Calibri" w:cs="Calibri"/>
        </w:rPr>
        <w:t>  </w:t>
      </w:r>
    </w:p>
    <w:p>
      <w:pPr>
        <w:pStyle w:val="7"/>
        <w:widowControl/>
        <w:spacing w:before="75" w:beforeAutospacing="0" w:after="75" w:afterAutospacing="0"/>
        <w:ind w:firstLine="420"/>
      </w:pPr>
      <w:r>
        <w:rPr>
          <w:rFonts w:hint="eastAsia" w:ascii="宋体" w:hAnsi="宋体" w:eastAsia="宋体" w:cs="宋体"/>
          <w:sz w:val="21"/>
          <w:szCs w:val="21"/>
        </w:rPr>
        <w:t>……</w:t>
      </w:r>
    </w:p>
    <w:p>
      <w:pPr>
        <w:pStyle w:val="7"/>
        <w:widowControl/>
        <w:spacing w:before="75" w:beforeAutospacing="0" w:after="75" w:afterAutospacing="0"/>
        <w:ind w:firstLine="420"/>
      </w:pPr>
      <w:r>
        <w:rPr>
          <w:rFonts w:hint="eastAsia" w:ascii="宋体" w:hAnsi="宋体" w:eastAsia="宋体" w:cs="宋体"/>
          <w:sz w:val="21"/>
          <w:szCs w:val="21"/>
        </w:rPr>
        <w:t> </w:t>
      </w:r>
    </w:p>
    <w:p>
      <w:pPr>
        <w:pStyle w:val="7"/>
        <w:widowControl/>
        <w:spacing w:before="75" w:beforeAutospacing="0" w:after="75" w:afterAutospacing="0"/>
        <w:ind w:firstLine="420"/>
      </w:pPr>
      <w:r>
        <w:rPr>
          <w:rFonts w:hint="eastAsia" w:ascii="宋体" w:hAnsi="宋体" w:eastAsia="宋体" w:cs="宋体"/>
          <w:sz w:val="21"/>
          <w:szCs w:val="21"/>
        </w:rPr>
        <w:t>以上企业，不属于大企业的分支机构，不存在控股股东为大企业的情形，也不存在与大企业的负责人为同一人的情形。</w:t>
      </w:r>
    </w:p>
    <w:p>
      <w:pPr>
        <w:pStyle w:val="7"/>
        <w:widowControl/>
        <w:spacing w:before="75" w:beforeAutospacing="0" w:after="75" w:afterAutospacing="0"/>
        <w:ind w:firstLine="420"/>
      </w:pPr>
      <w:r>
        <w:rPr>
          <w:rFonts w:hint="eastAsia" w:ascii="宋体" w:hAnsi="宋体" w:eastAsia="宋体" w:cs="宋体"/>
          <w:sz w:val="21"/>
          <w:szCs w:val="21"/>
        </w:rPr>
        <w:t> </w:t>
      </w:r>
    </w:p>
    <w:p>
      <w:pPr>
        <w:pStyle w:val="7"/>
        <w:widowControl/>
        <w:spacing w:before="75" w:beforeAutospacing="0" w:after="75" w:afterAutospacing="0"/>
        <w:ind w:firstLine="420"/>
      </w:pPr>
      <w:r>
        <w:rPr>
          <w:rFonts w:hint="eastAsia" w:ascii="宋体" w:hAnsi="宋体" w:eastAsia="宋体" w:cs="宋体"/>
          <w:sz w:val="21"/>
          <w:szCs w:val="21"/>
        </w:rPr>
        <w:t>本企业对上述声明内容的真实性负责。如有虚假，将依法承担相应责任。</w:t>
      </w:r>
    </w:p>
    <w:p>
      <w:pPr>
        <w:pStyle w:val="7"/>
        <w:widowControl/>
        <w:spacing w:before="75" w:beforeAutospacing="0" w:after="75" w:afterAutospacing="0"/>
        <w:ind w:firstLine="420"/>
      </w:pPr>
      <w:r>
        <w:rPr>
          <w:rFonts w:hint="eastAsia" w:ascii="宋体" w:hAnsi="宋体" w:eastAsia="宋体" w:cs="宋体"/>
          <w:sz w:val="21"/>
          <w:szCs w:val="21"/>
        </w:rPr>
        <w:br w:type="textWrapping"/>
      </w:r>
      <w:r>
        <w:rPr>
          <w:rFonts w:hint="eastAsia" w:ascii="宋体" w:hAnsi="宋体" w:eastAsia="宋体" w:cs="宋体"/>
          <w:sz w:val="21"/>
          <w:szCs w:val="21"/>
        </w:rPr>
        <w:t>   企业名称（盖章）：</w:t>
      </w:r>
    </w:p>
    <w:p>
      <w:pPr>
        <w:pStyle w:val="7"/>
        <w:widowControl/>
        <w:spacing w:before="75" w:beforeAutospacing="0" w:after="75" w:afterAutospacing="0"/>
        <w:ind w:firstLine="420"/>
      </w:pPr>
      <w:r>
        <w:rPr>
          <w:rFonts w:hint="eastAsia" w:ascii="宋体" w:hAnsi="宋体" w:eastAsia="宋体" w:cs="宋体"/>
          <w:sz w:val="21"/>
          <w:szCs w:val="21"/>
        </w:rPr>
        <w:t>                                                           日期：</w:t>
      </w:r>
    </w:p>
    <w:p>
      <w:pPr>
        <w:pStyle w:val="7"/>
        <w:widowControl/>
        <w:spacing w:before="75" w:beforeAutospacing="0" w:after="75" w:afterAutospacing="0"/>
      </w:pPr>
      <w:r>
        <w:rPr>
          <w:rFonts w:ascii="Calibri" w:hAnsi="Calibri" w:cs="Calibri"/>
          <w:sz w:val="21"/>
          <w:szCs w:val="21"/>
        </w:rPr>
        <w:t> </w:t>
      </w:r>
    </w:p>
    <w:p>
      <w:pPr>
        <w:pStyle w:val="7"/>
        <w:widowControl/>
        <w:spacing w:before="75" w:beforeAutospacing="0" w:after="75" w:afterAutospacing="0"/>
      </w:pPr>
      <w:r>
        <w:rPr>
          <w:rStyle w:val="10"/>
          <w:rFonts w:hint="eastAsia" w:ascii="宋体" w:hAnsi="宋体" w:eastAsia="宋体" w:cs="宋体"/>
          <w:sz w:val="21"/>
          <w:szCs w:val="21"/>
        </w:rPr>
        <w:t>※注意：</w:t>
      </w:r>
    </w:p>
    <w:p>
      <w:pPr>
        <w:pStyle w:val="7"/>
        <w:widowControl/>
        <w:spacing w:before="75" w:beforeAutospacing="0" w:after="75" w:afterAutospacing="0"/>
        <w:ind w:firstLine="420"/>
      </w:pPr>
      <w:r>
        <w:rPr>
          <w:rStyle w:val="10"/>
          <w:rFonts w:hint="eastAsia" w:ascii="宋体" w:hAnsi="宋体" w:eastAsia="宋体" w:cs="宋体"/>
          <w:sz w:val="21"/>
          <w:szCs w:val="21"/>
        </w:rPr>
        <w:t>1、从业人员、营业收入、资产总额填报上一年度数据，无上一年度数据的新成立企业可不填报。</w:t>
      </w:r>
    </w:p>
    <w:p>
      <w:pPr>
        <w:pStyle w:val="7"/>
        <w:widowControl/>
        <w:spacing w:before="75" w:beforeAutospacing="0" w:after="75" w:afterAutospacing="0"/>
        <w:ind w:firstLine="420"/>
      </w:pPr>
      <w:r>
        <w:rPr>
          <w:rStyle w:val="10"/>
          <w:rFonts w:hint="eastAsia" w:ascii="宋体" w:hAnsi="宋体" w:eastAsia="宋体" w:cs="宋体"/>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7"/>
        <w:widowControl/>
        <w:spacing w:before="75" w:beforeAutospacing="0" w:after="75" w:afterAutospacing="0"/>
        <w:ind w:firstLine="420"/>
      </w:pPr>
      <w:r>
        <w:rPr>
          <w:rStyle w:val="10"/>
          <w:rFonts w:hint="eastAsia" w:ascii="宋体" w:hAnsi="宋体" w:eastAsia="宋体" w:cs="宋体"/>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7"/>
        <w:widowControl/>
        <w:spacing w:after="240" w:afterAutospacing="0"/>
      </w:pPr>
    </w:p>
    <w:p>
      <w:pPr>
        <w:pStyle w:val="3"/>
        <w:widowControl/>
        <w:spacing w:before="150" w:beforeAutospacing="0" w:after="150" w:afterAutospacing="0"/>
        <w:jc w:val="center"/>
        <w:rPr>
          <w:rFonts w:hint="default"/>
        </w:rPr>
      </w:pPr>
      <w:r>
        <w:rPr>
          <w:rStyle w:val="10"/>
          <w:rFonts w:cs="宋体"/>
          <w:b/>
          <w:sz w:val="24"/>
          <w:szCs w:val="24"/>
        </w:rPr>
        <w:t>中小企业声明函（工程、服务）</w:t>
      </w:r>
    </w:p>
    <w:p>
      <w:pPr>
        <w:pStyle w:val="7"/>
        <w:widowControl/>
        <w:spacing w:before="75" w:beforeAutospacing="0" w:after="75" w:afterAutospacing="0"/>
        <w:ind w:firstLine="420"/>
      </w:pPr>
      <w:r>
        <w:rPr>
          <w:rFonts w:hint="eastAsia" w:ascii="宋体" w:hAnsi="宋体" w:eastAsia="宋体" w:cs="宋体"/>
          <w:sz w:val="21"/>
          <w:szCs w:val="21"/>
        </w:rPr>
        <w:t>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7"/>
        <w:widowControl/>
        <w:spacing w:before="75" w:beforeAutospacing="0" w:after="75" w:afterAutospacing="0"/>
        <w:ind w:firstLine="420"/>
      </w:pPr>
      <w:r>
        <w:rPr>
          <w:rFonts w:hint="eastAsia" w:ascii="宋体" w:hAnsi="宋体" w:eastAsia="宋体" w:cs="宋体"/>
          <w:sz w:val="21"/>
          <w:szCs w:val="21"/>
        </w:rPr>
        <w:t>1. </w:t>
      </w:r>
      <w:r>
        <w:rPr>
          <w:rFonts w:hint="eastAsia" w:ascii="宋体" w:hAnsi="宋体" w:eastAsia="宋体" w:cs="宋体"/>
          <w:sz w:val="21"/>
          <w:szCs w:val="21"/>
          <w:u w:val="single"/>
        </w:rPr>
        <w:t>（标的名称）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p>
    <w:p>
      <w:pPr>
        <w:pStyle w:val="7"/>
        <w:widowControl/>
        <w:spacing w:before="75" w:beforeAutospacing="0" w:after="75" w:afterAutospacing="0"/>
      </w:pPr>
      <w:r>
        <w:rPr>
          <w:rFonts w:hint="eastAsia" w:ascii="宋体" w:hAnsi="宋体" w:eastAsia="宋体" w:cs="宋体"/>
          <w:sz w:val="21"/>
          <w:szCs w:val="21"/>
        </w:rPr>
        <w:t>　　2. </w:t>
      </w:r>
      <w:r>
        <w:rPr>
          <w:rFonts w:hint="eastAsia" w:ascii="宋体" w:hAnsi="宋体" w:eastAsia="宋体" w:cs="宋体"/>
          <w:sz w:val="21"/>
          <w:szCs w:val="21"/>
          <w:u w:val="single"/>
        </w:rPr>
        <w:t>（标的名称）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p>
    <w:p>
      <w:pPr>
        <w:pStyle w:val="7"/>
        <w:widowControl/>
        <w:spacing w:before="75" w:beforeAutospacing="0" w:after="75" w:afterAutospacing="0"/>
      </w:pPr>
      <w:r>
        <w:rPr>
          <w:rFonts w:hint="eastAsia" w:ascii="宋体" w:hAnsi="宋体" w:eastAsia="宋体" w:cs="宋体"/>
          <w:sz w:val="21"/>
          <w:szCs w:val="21"/>
        </w:rPr>
        <w:t> </w:t>
      </w:r>
    </w:p>
    <w:p>
      <w:pPr>
        <w:pStyle w:val="7"/>
        <w:widowControl/>
        <w:spacing w:before="75" w:beforeAutospacing="0" w:after="75" w:afterAutospacing="0"/>
      </w:pPr>
      <w:r>
        <w:rPr>
          <w:rFonts w:hint="eastAsia" w:ascii="宋体" w:hAnsi="宋体" w:eastAsia="宋体" w:cs="宋体"/>
          <w:sz w:val="21"/>
          <w:szCs w:val="21"/>
        </w:rPr>
        <w:t>……</w:t>
      </w:r>
    </w:p>
    <w:p>
      <w:pPr>
        <w:pStyle w:val="7"/>
        <w:widowControl/>
        <w:spacing w:before="75" w:beforeAutospacing="0" w:after="75" w:afterAutospacing="0"/>
      </w:pPr>
      <w:r>
        <w:rPr>
          <w:rFonts w:hint="eastAsia" w:ascii="宋体" w:hAnsi="宋体" w:eastAsia="宋体" w:cs="宋体"/>
          <w:sz w:val="21"/>
          <w:szCs w:val="21"/>
        </w:rPr>
        <w:t> </w:t>
      </w:r>
    </w:p>
    <w:p>
      <w:pPr>
        <w:pStyle w:val="7"/>
        <w:widowControl/>
        <w:spacing w:before="75" w:beforeAutospacing="0" w:after="75" w:afterAutospacing="0"/>
      </w:pPr>
      <w:r>
        <w:rPr>
          <w:rFonts w:hint="eastAsia" w:ascii="宋体" w:hAnsi="宋体" w:eastAsia="宋体" w:cs="宋体"/>
          <w:sz w:val="21"/>
          <w:szCs w:val="21"/>
        </w:rPr>
        <w:t> 以上企业，不属于大企业的分支机构，不存在控股股东为大企业的情形，也不存在与大企业的负责人为同一人的情形。</w:t>
      </w:r>
    </w:p>
    <w:p>
      <w:pPr>
        <w:pStyle w:val="7"/>
        <w:widowControl/>
        <w:spacing w:before="75" w:beforeAutospacing="0" w:after="75" w:afterAutospacing="0"/>
      </w:pPr>
      <w:r>
        <w:rPr>
          <w:rFonts w:hint="eastAsia" w:ascii="宋体" w:hAnsi="宋体" w:eastAsia="宋体" w:cs="宋体"/>
          <w:sz w:val="21"/>
          <w:szCs w:val="21"/>
        </w:rPr>
        <w:t> </w:t>
      </w:r>
    </w:p>
    <w:p>
      <w:pPr>
        <w:pStyle w:val="7"/>
        <w:widowControl/>
        <w:spacing w:before="75" w:beforeAutospacing="0" w:after="75" w:afterAutospacing="0"/>
      </w:pPr>
      <w:r>
        <w:rPr>
          <w:rFonts w:hint="eastAsia" w:ascii="宋体" w:hAnsi="宋体" w:eastAsia="宋体" w:cs="宋体"/>
          <w:sz w:val="21"/>
          <w:szCs w:val="21"/>
        </w:rPr>
        <w:t> 本企业对上述声明内容的真实性负责。如有虚假，将依法承担相应责任。</w:t>
      </w:r>
    </w:p>
    <w:p>
      <w:pPr>
        <w:pStyle w:val="7"/>
        <w:widowControl/>
        <w:spacing w:before="75" w:beforeAutospacing="0" w:after="75" w:afterAutospacing="0"/>
      </w:pPr>
      <w:r>
        <w:rPr>
          <w:rFonts w:hint="eastAsia" w:ascii="宋体" w:hAnsi="宋体" w:eastAsia="宋体" w:cs="宋体"/>
          <w:sz w:val="21"/>
          <w:szCs w:val="21"/>
        </w:rPr>
        <w:t> </w:t>
      </w:r>
    </w:p>
    <w:p>
      <w:pPr>
        <w:pStyle w:val="7"/>
        <w:widowControl/>
        <w:spacing w:before="75" w:beforeAutospacing="0" w:after="75" w:afterAutospacing="0"/>
      </w:pPr>
      <w:r>
        <w:rPr>
          <w:rFonts w:hint="eastAsia" w:ascii="宋体" w:hAnsi="宋体" w:eastAsia="宋体" w:cs="宋体"/>
          <w:sz w:val="21"/>
          <w:szCs w:val="21"/>
        </w:rPr>
        <w:t> 企业名称（盖章）：                                              日期：</w:t>
      </w:r>
    </w:p>
    <w:p>
      <w:pPr>
        <w:pStyle w:val="7"/>
        <w:widowControl/>
        <w:spacing w:before="75" w:beforeAutospacing="0" w:after="75" w:afterAutospacing="0"/>
      </w:pPr>
      <w:r>
        <w:rPr>
          <w:rFonts w:hint="eastAsia" w:ascii="宋体" w:hAnsi="宋体" w:eastAsia="宋体" w:cs="宋体"/>
          <w:sz w:val="21"/>
          <w:szCs w:val="21"/>
        </w:rPr>
        <w:t> </w:t>
      </w:r>
    </w:p>
    <w:p>
      <w:pPr>
        <w:pStyle w:val="7"/>
        <w:widowControl/>
        <w:spacing w:before="75" w:beforeAutospacing="0" w:after="75" w:afterAutospacing="0"/>
      </w:pPr>
      <w:r>
        <w:rPr>
          <w:rStyle w:val="10"/>
          <w:rFonts w:hint="eastAsia" w:ascii="宋体" w:hAnsi="宋体" w:eastAsia="宋体" w:cs="宋体"/>
          <w:sz w:val="21"/>
          <w:szCs w:val="21"/>
        </w:rPr>
        <w:t>※注意：</w:t>
      </w:r>
    </w:p>
    <w:p>
      <w:pPr>
        <w:pStyle w:val="7"/>
        <w:widowControl/>
        <w:spacing w:before="75" w:beforeAutospacing="0" w:after="75" w:afterAutospacing="0"/>
        <w:ind w:firstLine="420"/>
      </w:pPr>
      <w:r>
        <w:rPr>
          <w:rStyle w:val="10"/>
          <w:rFonts w:hint="eastAsia" w:ascii="宋体" w:hAnsi="宋体" w:eastAsia="宋体" w:cs="宋体"/>
          <w:sz w:val="21"/>
          <w:szCs w:val="21"/>
        </w:rPr>
        <w:t>1、从业人员、营业收入、资产总额填报上一年度数据，无上一年度数据的新成立企业可不填报。</w:t>
      </w:r>
    </w:p>
    <w:p>
      <w:pPr>
        <w:pStyle w:val="7"/>
        <w:widowControl/>
        <w:spacing w:before="75" w:beforeAutospacing="0" w:after="75" w:afterAutospacing="0"/>
        <w:ind w:firstLine="420"/>
      </w:pPr>
      <w:r>
        <w:rPr>
          <w:rStyle w:val="10"/>
          <w:rFonts w:hint="eastAsia" w:ascii="宋体" w:hAnsi="宋体" w:eastAsia="宋体" w:cs="宋体"/>
          <w:sz w:val="21"/>
          <w:szCs w:val="2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Pr>
          <w:rStyle w:val="10"/>
          <w:rFonts w:hint="eastAsia" w:ascii="宋体" w:hAnsi="宋体" w:eastAsia="宋体" w:cs="宋体"/>
          <w:sz w:val="21"/>
          <w:szCs w:val="21"/>
        </w:rPr>
        <w:br w:type="textWrapping"/>
      </w:r>
      <w:r>
        <w:rPr>
          <w:rStyle w:val="10"/>
          <w:rFonts w:hint="eastAsia" w:ascii="宋体" w:hAnsi="宋体" w:eastAsia="宋体" w:cs="宋体"/>
          <w:sz w:val="21"/>
          <w:szCs w:val="21"/>
        </w:rPr>
        <w:t>  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Pr>
          <w:rStyle w:val="10"/>
          <w:rFonts w:ascii="Calibri" w:hAnsi="Calibri" w:cs="Calibri"/>
          <w:sz w:val="21"/>
          <w:szCs w:val="21"/>
        </w:rPr>
        <w:t>     </w:t>
      </w:r>
      <w:r>
        <w:rPr>
          <w:rFonts w:ascii="Calibri" w:hAnsi="Calibri" w:cs="Calibri"/>
          <w:sz w:val="21"/>
          <w:szCs w:val="21"/>
        </w:rPr>
        <w:t>          </w:t>
      </w:r>
    </w:p>
    <w:p>
      <w:pPr>
        <w:pStyle w:val="7"/>
        <w:widowControl/>
        <w:spacing w:after="240" w:afterAutospacing="0"/>
        <w:rPr>
          <w:rFonts w:ascii="宋体" w:hAnsi="宋体" w:eastAsia="宋体" w:cs="宋体"/>
          <w:sz w:val="21"/>
          <w:szCs w:val="21"/>
        </w:rPr>
      </w:pPr>
    </w:p>
    <w:p>
      <w:pPr>
        <w:pStyle w:val="7"/>
        <w:widowControl/>
        <w:spacing w:after="240" w:afterAutospacing="0"/>
        <w:rPr>
          <w:rFonts w:ascii="宋体" w:hAnsi="宋体" w:eastAsia="宋体" w:cs="宋体"/>
          <w:sz w:val="21"/>
          <w:szCs w:val="21"/>
        </w:rPr>
      </w:pPr>
    </w:p>
    <w:p>
      <w:pPr>
        <w:pStyle w:val="7"/>
        <w:widowControl/>
        <w:spacing w:after="240" w:afterAutospacing="0"/>
        <w:rPr>
          <w:rFonts w:ascii="宋体" w:hAnsi="宋体" w:eastAsia="宋体" w:cs="宋体"/>
          <w:sz w:val="21"/>
          <w:szCs w:val="21"/>
        </w:rPr>
      </w:pPr>
    </w:p>
    <w:p>
      <w:pPr>
        <w:pStyle w:val="7"/>
        <w:widowControl/>
        <w:spacing w:after="240" w:afterAutospacing="0"/>
      </w:pPr>
    </w:p>
    <w:p>
      <w:pPr>
        <w:pStyle w:val="7"/>
        <w:widowControl/>
        <w:spacing w:before="75" w:beforeAutospacing="0" w:after="75" w:afterAutospacing="0"/>
      </w:pPr>
      <w:r>
        <w:rPr>
          <w:rFonts w:hint="eastAsia" w:ascii="宋体" w:hAnsi="宋体" w:eastAsia="宋体" w:cs="宋体"/>
          <w:sz w:val="21"/>
          <w:szCs w:val="21"/>
        </w:rPr>
        <w:t>附：</w:t>
      </w:r>
    </w:p>
    <w:p>
      <w:pPr>
        <w:pStyle w:val="7"/>
        <w:widowControl/>
        <w:spacing w:before="75" w:beforeAutospacing="0" w:after="75" w:afterAutospacing="0"/>
        <w:jc w:val="center"/>
      </w:pPr>
      <w:r>
        <w:rPr>
          <w:rStyle w:val="10"/>
          <w:rFonts w:hint="eastAsia" w:ascii="宋体" w:hAnsi="宋体" w:eastAsia="宋体" w:cs="宋体"/>
        </w:rPr>
        <w:t>残疾人福利性单位声明函</w:t>
      </w:r>
    </w:p>
    <w:p>
      <w:pPr>
        <w:pStyle w:val="7"/>
        <w:widowControl/>
        <w:spacing w:before="75" w:beforeAutospacing="0" w:after="75" w:afterAutospacing="0"/>
        <w:jc w:val="center"/>
      </w:pPr>
      <w:r>
        <w:rPr>
          <w:rStyle w:val="10"/>
          <w:rFonts w:hint="eastAsia" w:ascii="宋体" w:hAnsi="宋体" w:eastAsia="宋体" w:cs="宋体"/>
          <w:sz w:val="21"/>
          <w:szCs w:val="21"/>
        </w:rPr>
        <w:t>（以资格条件落实中小企业扶持政策时适用，若有）</w:t>
      </w:r>
    </w:p>
    <w:p>
      <w:pPr>
        <w:pStyle w:val="7"/>
        <w:widowControl/>
        <w:spacing w:before="75" w:beforeAutospacing="0" w:after="75" w:afterAutospacing="0"/>
      </w:pPr>
      <w:r>
        <w:rPr>
          <w:rStyle w:val="10"/>
          <w:rFonts w:hint="eastAsia" w:ascii="宋体" w:hAnsi="宋体" w:eastAsia="宋体" w:cs="宋体"/>
          <w:sz w:val="21"/>
          <w:szCs w:val="21"/>
        </w:rPr>
        <w:t> </w:t>
      </w:r>
    </w:p>
    <w:p>
      <w:pPr>
        <w:pStyle w:val="7"/>
        <w:widowControl/>
        <w:spacing w:before="75" w:beforeAutospacing="0" w:after="75" w:afterAutospacing="0"/>
        <w:ind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7"/>
        <w:widowControl/>
        <w:spacing w:before="75" w:beforeAutospacing="0" w:after="75" w:afterAutospacing="0"/>
        <w:ind w:firstLine="420"/>
      </w:pPr>
      <w:r>
        <w:rPr>
          <w:rFonts w:hint="eastAsia" w:ascii="宋体" w:hAnsi="宋体" w:eastAsia="宋体" w:cs="宋体"/>
          <w:sz w:val="21"/>
          <w:szCs w:val="21"/>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7"/>
        <w:widowControl/>
        <w:spacing w:before="75" w:beforeAutospacing="0" w:after="75" w:afterAutospacing="0"/>
        <w:ind w:firstLine="420"/>
      </w:pPr>
      <w:r>
        <w:rPr>
          <w:rFonts w:hint="eastAsia" w:ascii="宋体" w:hAnsi="宋体" w:eastAsia="宋体" w:cs="宋体"/>
          <w:sz w:val="21"/>
          <w:szCs w:val="21"/>
        </w:rPr>
        <w:t>（ ）由本投标人承建的（填写“所投采购包、品目号”）工程</w:t>
      </w:r>
    </w:p>
    <w:p>
      <w:pPr>
        <w:pStyle w:val="7"/>
        <w:widowControl/>
        <w:spacing w:before="75" w:beforeAutospacing="0" w:after="75" w:afterAutospacing="0"/>
        <w:ind w:firstLine="420"/>
      </w:pPr>
      <w:r>
        <w:rPr>
          <w:rFonts w:hint="eastAsia" w:ascii="宋体" w:hAnsi="宋体" w:eastAsia="宋体" w:cs="宋体"/>
          <w:sz w:val="21"/>
          <w:szCs w:val="21"/>
        </w:rPr>
        <w:t>（ ）由本投标人承接的（填写“所投采购包、品目号”）服务；</w:t>
      </w:r>
    </w:p>
    <w:p>
      <w:pPr>
        <w:pStyle w:val="7"/>
        <w:widowControl/>
        <w:spacing w:before="75" w:beforeAutospacing="0" w:after="75" w:afterAutospacing="0"/>
        <w:ind w:firstLine="420"/>
      </w:pPr>
      <w:r>
        <w:rPr>
          <w:rFonts w:hint="eastAsia" w:ascii="宋体" w:hAnsi="宋体" w:eastAsia="宋体" w:cs="宋体"/>
          <w:sz w:val="21"/>
          <w:szCs w:val="21"/>
        </w:rPr>
        <w:t>本投标人对上述声明的真实性负责。如有虚假，将依法承担相应责任。</w:t>
      </w:r>
    </w:p>
    <w:p>
      <w:pPr>
        <w:pStyle w:val="7"/>
        <w:widowControl/>
        <w:spacing w:before="75" w:beforeAutospacing="0" w:after="75" w:afterAutospacing="0"/>
        <w:ind w:firstLine="420"/>
      </w:pPr>
      <w:r>
        <w:rPr>
          <w:rFonts w:hint="eastAsia" w:ascii="宋体" w:hAnsi="宋体" w:eastAsia="宋体" w:cs="宋体"/>
          <w:sz w:val="21"/>
          <w:szCs w:val="21"/>
        </w:rPr>
        <w:t> </w:t>
      </w:r>
    </w:p>
    <w:p>
      <w:pPr>
        <w:pStyle w:val="7"/>
        <w:widowControl/>
        <w:spacing w:before="75" w:beforeAutospacing="0" w:after="75" w:afterAutospacing="0"/>
      </w:pPr>
      <w:r>
        <w:rPr>
          <w:rFonts w:hint="eastAsia" w:ascii="宋体" w:hAnsi="宋体" w:eastAsia="宋体" w:cs="宋体"/>
          <w:sz w:val="21"/>
          <w:szCs w:val="21"/>
        </w:rPr>
        <w:t>备注：</w:t>
      </w:r>
    </w:p>
    <w:p>
      <w:pPr>
        <w:pStyle w:val="7"/>
        <w:widowControl/>
        <w:spacing w:before="75" w:beforeAutospacing="0" w:after="75" w:afterAutospacing="0"/>
      </w:pPr>
      <w:r>
        <w:rPr>
          <w:rFonts w:hint="eastAsia" w:ascii="宋体" w:hAnsi="宋体" w:eastAsia="宋体" w:cs="宋体"/>
          <w:sz w:val="21"/>
          <w:szCs w:val="21"/>
        </w:rPr>
        <w:t>1、请投标人按照实际情况编制填写本声明函，并在相应的（）中打“√”。</w:t>
      </w:r>
    </w:p>
    <w:p>
      <w:pPr>
        <w:pStyle w:val="7"/>
        <w:widowControl/>
        <w:spacing w:before="75" w:beforeAutospacing="0" w:after="75" w:afterAutospacing="0"/>
      </w:pPr>
      <w:r>
        <w:rPr>
          <w:rFonts w:hint="eastAsia" w:ascii="宋体" w:hAnsi="宋体" w:eastAsia="宋体" w:cs="宋体"/>
          <w:sz w:val="21"/>
          <w:szCs w:val="21"/>
        </w:rPr>
        <w:t>2、若《残疾人福利性单位声明函》内容不真实，</w:t>
      </w:r>
      <w:r>
        <w:rPr>
          <w:rStyle w:val="10"/>
          <w:rFonts w:hint="eastAsia" w:ascii="宋体" w:hAnsi="宋体" w:eastAsia="宋体" w:cs="宋体"/>
          <w:sz w:val="21"/>
          <w:szCs w:val="21"/>
        </w:rPr>
        <w:t>视为提供虚假材料。</w:t>
      </w:r>
    </w:p>
    <w:p>
      <w:pPr>
        <w:pStyle w:val="7"/>
        <w:widowControl/>
        <w:spacing w:before="75" w:beforeAutospacing="0" w:after="75" w:afterAutospacing="0"/>
      </w:pPr>
      <w:r>
        <w:rPr>
          <w:rFonts w:hint="eastAsia" w:ascii="宋体" w:hAnsi="宋体" w:eastAsia="宋体" w:cs="宋体"/>
          <w:sz w:val="21"/>
          <w:szCs w:val="21"/>
        </w:rPr>
        <w:t> </w:t>
      </w:r>
    </w:p>
    <w:p>
      <w:pPr>
        <w:pStyle w:val="7"/>
        <w:widowControl/>
        <w:spacing w:before="75" w:beforeAutospacing="0" w:after="75" w:afterAutospacing="0"/>
      </w:pPr>
      <w:r>
        <w:rPr>
          <w:rFonts w:ascii="Calibri" w:hAnsi="Calibri" w:cs="Calibri"/>
          <w:sz w:val="21"/>
          <w:szCs w:val="21"/>
        </w:rPr>
        <w:t> </w:t>
      </w:r>
    </w:p>
    <w:p>
      <w:pPr>
        <w:pStyle w:val="7"/>
        <w:widowControl/>
        <w:spacing w:before="75" w:beforeAutospacing="0" w:after="75"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spacing w:before="75" w:beforeAutospacing="0" w:after="75"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spacing w:before="75" w:beforeAutospacing="0" w:after="75" w:afterAutospacing="0"/>
        <w:ind w:firstLine="420"/>
      </w:pPr>
      <w:r>
        <w:rPr>
          <w:rFonts w:ascii="Calibri" w:hAnsi="Calibri" w:cs="Calibri"/>
        </w:rPr>
        <w:t> </w:t>
      </w:r>
    </w:p>
    <w:p>
      <w:pPr>
        <w:pStyle w:val="7"/>
        <w:widowControl/>
        <w:spacing w:before="75" w:beforeAutospacing="0" w:after="75" w:afterAutospacing="0"/>
        <w:ind w:firstLine="420"/>
      </w:pPr>
      <w:r>
        <w:rPr>
          <w:rFonts w:ascii="Calibri" w:hAnsi="Calibri" w:cs="Calibri"/>
        </w:rPr>
        <w:t> </w:t>
      </w:r>
    </w:p>
    <w:p>
      <w:pPr>
        <w:pStyle w:val="7"/>
        <w:widowControl/>
        <w:spacing w:before="75" w:beforeAutospacing="0" w:after="75" w:afterAutospacing="0"/>
      </w:pPr>
      <w:r>
        <w:rPr>
          <w:rFonts w:hint="eastAsia" w:ascii="宋体" w:hAnsi="宋体" w:eastAsia="宋体" w:cs="宋体"/>
          <w:sz w:val="21"/>
          <w:szCs w:val="21"/>
        </w:rPr>
        <w:t> </w:t>
      </w:r>
    </w:p>
    <w:p>
      <w:pPr>
        <w:pStyle w:val="7"/>
        <w:widowControl/>
        <w:spacing w:before="75" w:beforeAutospacing="0" w:after="75" w:afterAutospacing="0"/>
      </w:pPr>
      <w:r>
        <w:rPr>
          <w:rFonts w:hint="eastAsia" w:ascii="宋体" w:hAnsi="宋体" w:eastAsia="宋体" w:cs="宋体"/>
          <w:sz w:val="21"/>
          <w:szCs w:val="21"/>
        </w:rPr>
        <w:t>附：                          </w:t>
      </w:r>
    </w:p>
    <w:p>
      <w:pPr>
        <w:pStyle w:val="7"/>
        <w:widowControl/>
        <w:spacing w:before="75" w:beforeAutospacing="0" w:after="75" w:afterAutospacing="0"/>
        <w:jc w:val="center"/>
      </w:pPr>
      <w:r>
        <w:rPr>
          <w:rStyle w:val="10"/>
          <w:rFonts w:hint="eastAsia" w:ascii="宋体" w:hAnsi="宋体" w:eastAsia="宋体" w:cs="宋体"/>
        </w:rPr>
        <w:t>监狱企业证明材料</w:t>
      </w:r>
    </w:p>
    <w:p>
      <w:pPr>
        <w:pStyle w:val="7"/>
        <w:widowControl/>
        <w:spacing w:before="75" w:beforeAutospacing="0" w:after="75" w:afterAutospacing="0"/>
        <w:jc w:val="center"/>
      </w:pPr>
      <w:r>
        <w:rPr>
          <w:rStyle w:val="10"/>
          <w:rFonts w:hint="eastAsia" w:ascii="宋体" w:hAnsi="宋体" w:eastAsia="宋体" w:cs="宋体"/>
        </w:rPr>
        <w:t> </w:t>
      </w:r>
    </w:p>
    <w:p>
      <w:pPr>
        <w:pStyle w:val="7"/>
        <w:widowControl/>
      </w:pPr>
      <w:r>
        <w:rPr>
          <w:rFonts w:hint="eastAsia" w:ascii="宋体" w:hAnsi="宋体" w:eastAsia="宋体" w:cs="宋体"/>
          <w:color w:val="000000"/>
          <w:shd w:val="clear" w:color="auto" w:fill="FFFFFF"/>
        </w:rPr>
        <w:t>投标人为监狱企业，提供本单位制造的货物（承接的服务），并在电子投标文件中提供省级以上监狱管理局、戒毒管理局（含新疆生产建设兵团）出具的属于监狱企业的证明文件。</w:t>
      </w:r>
    </w:p>
    <w:p>
      <w:pPr>
        <w:pStyle w:val="7"/>
        <w:widowControl/>
        <w:spacing w:after="240" w:afterAutospacing="0"/>
        <w:rPr>
          <w:rFonts w:ascii="宋体" w:hAnsi="宋体" w:eastAsia="宋体" w:cs="宋体"/>
          <w:sz w:val="21"/>
          <w:szCs w:val="21"/>
        </w:rPr>
      </w:pPr>
    </w:p>
    <w:p>
      <w:pPr>
        <w:pStyle w:val="7"/>
        <w:widowControl/>
        <w:spacing w:after="240" w:afterAutospacing="0"/>
      </w:pPr>
      <w:r>
        <w:rPr>
          <w:rFonts w:hint="eastAsia" w:ascii="宋体" w:hAnsi="宋体" w:eastAsia="宋体" w:cs="宋体"/>
          <w:sz w:val="21"/>
          <w:szCs w:val="21"/>
        </w:rPr>
        <w:br w:type="textWrapping"/>
      </w:r>
      <w:r>
        <w:rPr>
          <w:rFonts w:hint="eastAsia" w:ascii="宋体" w:hAnsi="宋体" w:eastAsia="宋体" w:cs="宋体"/>
          <w:sz w:val="21"/>
          <w:szCs w:val="21"/>
        </w:rPr>
        <w:br w:type="textWrapping"/>
      </w:r>
    </w:p>
    <w:p>
      <w:pPr>
        <w:pStyle w:val="7"/>
        <w:widowControl/>
        <w:jc w:val="center"/>
      </w:pPr>
      <w:r>
        <w:rPr>
          <w:rStyle w:val="10"/>
          <w:rFonts w:hint="eastAsia" w:ascii="宋体" w:hAnsi="宋体" w:eastAsia="宋体" w:cs="宋体"/>
          <w:sz w:val="21"/>
          <w:szCs w:val="21"/>
        </w:rPr>
        <w:t>二-10联合体协议（若有）</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7"/>
        <w:widowControl/>
        <w:ind w:firstLine="420"/>
      </w:pPr>
      <w:r>
        <w:rPr>
          <w:rFonts w:hint="eastAsia" w:ascii="宋体" w:hAnsi="宋体" w:eastAsia="宋体" w:cs="宋体"/>
          <w:sz w:val="21"/>
          <w:szCs w:val="21"/>
        </w:rPr>
        <w:t>兹有</w:t>
      </w:r>
      <w:r>
        <w:rPr>
          <w:rFonts w:hint="eastAsia" w:ascii="宋体" w:hAnsi="宋体" w:eastAsia="宋体" w:cs="宋体"/>
          <w:sz w:val="21"/>
          <w:szCs w:val="21"/>
          <w:u w:val="single"/>
        </w:rPr>
        <w:t>（填写“联合体中各方的全称”，各方的全称之间请用“、”分割）</w:t>
      </w:r>
      <w:r>
        <w:rPr>
          <w:rFonts w:hint="eastAsia" w:ascii="宋体" w:hAnsi="宋体" w:eastAsia="宋体" w:cs="宋体"/>
          <w:sz w:val="21"/>
          <w:szCs w:val="21"/>
        </w:rPr>
        <w:t>自愿组成联合体，共同参加</w:t>
      </w:r>
      <w:r>
        <w:rPr>
          <w:rFonts w:hint="eastAsia" w:ascii="宋体" w:hAnsi="宋体" w:eastAsia="宋体" w:cs="宋体"/>
          <w:sz w:val="21"/>
          <w:szCs w:val="21"/>
          <w:u w:val="single"/>
        </w:rPr>
        <w:t>（填写“项目名称”） </w:t>
      </w:r>
      <w:r>
        <w:rPr>
          <w:rFonts w:hint="eastAsia" w:ascii="宋体" w:hAnsi="宋体" w:eastAsia="宋体" w:cs="宋体"/>
          <w:sz w:val="21"/>
          <w:szCs w:val="21"/>
        </w:rPr>
        <w:t>项目（项目编号：</w:t>
      </w:r>
      <w:r>
        <w:rPr>
          <w:rFonts w:hint="eastAsia" w:ascii="宋体" w:hAnsi="宋体" w:eastAsia="宋体" w:cs="宋体"/>
          <w:sz w:val="21"/>
          <w:szCs w:val="21"/>
          <w:u w:val="single"/>
        </w:rPr>
        <w:t>         </w:t>
      </w:r>
      <w:r>
        <w:rPr>
          <w:rFonts w:hint="eastAsia" w:ascii="宋体" w:hAnsi="宋体" w:eastAsia="宋体" w:cs="宋体"/>
          <w:sz w:val="21"/>
          <w:szCs w:val="21"/>
        </w:rPr>
        <w:t>）的投标。现就联合体参加本项目投标的有关事宜达成下列协议：</w:t>
      </w:r>
    </w:p>
    <w:p>
      <w:pPr>
        <w:pStyle w:val="7"/>
        <w:widowControl/>
        <w:ind w:firstLine="420"/>
      </w:pPr>
      <w:r>
        <w:rPr>
          <w:rFonts w:hint="eastAsia" w:ascii="宋体" w:hAnsi="宋体" w:eastAsia="宋体" w:cs="宋体"/>
          <w:sz w:val="21"/>
          <w:szCs w:val="21"/>
        </w:rPr>
        <w:t>一、联合体各方应承担的工作和义务具体如下：</w:t>
      </w:r>
    </w:p>
    <w:p>
      <w:pPr>
        <w:pStyle w:val="7"/>
        <w:widowControl/>
        <w:ind w:firstLine="420"/>
      </w:pPr>
      <w:r>
        <w:rPr>
          <w:rFonts w:hint="eastAsia" w:ascii="宋体" w:hAnsi="宋体" w:eastAsia="宋体" w:cs="宋体"/>
          <w:sz w:val="21"/>
          <w:szCs w:val="21"/>
        </w:rPr>
        <w:t>1、牵头方（</w:t>
      </w:r>
      <w:r>
        <w:rPr>
          <w:rFonts w:hint="eastAsia" w:ascii="宋体" w:hAnsi="宋体" w:eastAsia="宋体" w:cs="宋体"/>
          <w:sz w:val="21"/>
          <w:szCs w:val="21"/>
          <w:u w:val="single"/>
        </w:rPr>
        <w:t>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7"/>
        <w:widowControl/>
        <w:ind w:firstLine="420"/>
      </w:pPr>
      <w:r>
        <w:rPr>
          <w:rFonts w:hint="eastAsia" w:ascii="宋体" w:hAnsi="宋体" w:eastAsia="宋体" w:cs="宋体"/>
          <w:sz w:val="21"/>
          <w:szCs w:val="21"/>
        </w:rPr>
        <w:t>2、成员方：</w:t>
      </w:r>
    </w:p>
    <w:p>
      <w:pPr>
        <w:pStyle w:val="7"/>
        <w:widowControl/>
        <w:ind w:firstLine="420"/>
      </w:pPr>
      <w:r>
        <w:rPr>
          <w:rFonts w:hint="eastAsia" w:ascii="宋体" w:hAnsi="宋体" w:eastAsia="宋体" w:cs="宋体"/>
          <w:sz w:val="21"/>
          <w:szCs w:val="21"/>
        </w:rPr>
        <w:t>2.1</w:t>
      </w:r>
      <w:r>
        <w:rPr>
          <w:rFonts w:hint="eastAsia" w:ascii="宋体" w:hAnsi="宋体" w:eastAsia="宋体" w:cs="宋体"/>
          <w:sz w:val="21"/>
          <w:szCs w:val="21"/>
          <w:u w:val="single"/>
        </w:rPr>
        <w:t>（成员一的全称）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7"/>
        <w:widowControl/>
        <w:ind w:firstLine="420"/>
      </w:pPr>
      <w:r>
        <w:rPr>
          <w:rFonts w:ascii="Calibri" w:hAnsi="Calibri" w:cs="Calibri"/>
          <w:sz w:val="21"/>
          <w:szCs w:val="21"/>
        </w:rPr>
        <w:t>……</w:t>
      </w:r>
      <w:r>
        <w:rPr>
          <w:rFonts w:hint="eastAsia" w:ascii="宋体" w:hAnsi="宋体" w:eastAsia="宋体" w:cs="宋体"/>
          <w:sz w:val="21"/>
          <w:szCs w:val="21"/>
        </w:rPr>
        <w:t>。</w:t>
      </w:r>
    </w:p>
    <w:p>
      <w:pPr>
        <w:pStyle w:val="7"/>
        <w:widowControl/>
        <w:spacing w:before="75" w:beforeAutospacing="0" w:after="75" w:afterAutospacing="0" w:line="360" w:lineRule="atLeast"/>
        <w:ind w:firstLine="435"/>
      </w:pPr>
      <w:r>
        <w:rPr>
          <w:rFonts w:hint="eastAsia" w:ascii="宋体" w:hAnsi="宋体" w:eastAsia="宋体" w:cs="宋体"/>
          <w:sz w:val="21"/>
          <w:szCs w:val="21"/>
        </w:rPr>
        <w:t>二、联合体各方的合同金额占比，具体如下：</w:t>
      </w:r>
    </w:p>
    <w:p>
      <w:pPr>
        <w:pStyle w:val="7"/>
        <w:widowControl/>
        <w:spacing w:line="360" w:lineRule="atLeast"/>
        <w:ind w:firstLine="435"/>
      </w:pPr>
      <w:r>
        <w:rPr>
          <w:rFonts w:hint="eastAsia" w:ascii="宋体" w:hAnsi="宋体" w:eastAsia="宋体" w:cs="宋体"/>
          <w:sz w:val="21"/>
          <w:szCs w:val="21"/>
        </w:rPr>
        <w:t>1.牵头方（</w:t>
      </w:r>
      <w:r>
        <w:rPr>
          <w:rFonts w:hint="eastAsia" w:ascii="宋体" w:hAnsi="宋体" w:eastAsia="宋体" w:cs="宋体"/>
          <w:sz w:val="21"/>
          <w:szCs w:val="21"/>
          <w:u w:val="single"/>
        </w:rPr>
        <w:t>  全称 </w:t>
      </w:r>
      <w:r>
        <w:rPr>
          <w:rFonts w:hint="eastAsia" w:ascii="宋体" w:hAnsi="宋体" w:eastAsia="宋体" w:cs="宋体"/>
          <w:sz w:val="21"/>
          <w:szCs w:val="21"/>
        </w:rPr>
        <w:t>）的合同金额占合同总额的＿%；</w:t>
      </w:r>
    </w:p>
    <w:p>
      <w:pPr>
        <w:pStyle w:val="7"/>
        <w:widowControl/>
        <w:spacing w:line="360" w:lineRule="atLeast"/>
        <w:ind w:firstLine="435"/>
      </w:pPr>
      <w:r>
        <w:rPr>
          <w:rFonts w:hint="eastAsia" w:ascii="宋体" w:hAnsi="宋体" w:eastAsia="宋体" w:cs="宋体"/>
          <w:sz w:val="21"/>
          <w:szCs w:val="21"/>
        </w:rPr>
        <w:t>2.成员方：</w:t>
      </w:r>
    </w:p>
    <w:p>
      <w:pPr>
        <w:pStyle w:val="7"/>
        <w:widowControl/>
        <w:spacing w:line="360" w:lineRule="atLeast"/>
        <w:ind w:firstLine="435"/>
      </w:pPr>
      <w:r>
        <w:rPr>
          <w:rFonts w:hint="eastAsia" w:ascii="宋体" w:hAnsi="宋体" w:eastAsia="宋体" w:cs="宋体"/>
          <w:sz w:val="21"/>
          <w:szCs w:val="21"/>
        </w:rPr>
        <w:t>2.1（</w:t>
      </w:r>
      <w:r>
        <w:rPr>
          <w:rFonts w:hint="eastAsia" w:ascii="宋体" w:hAnsi="宋体" w:eastAsia="宋体" w:cs="宋体"/>
          <w:sz w:val="21"/>
          <w:szCs w:val="21"/>
          <w:u w:val="single"/>
        </w:rPr>
        <w:t> 成员1的全称 </w:t>
      </w:r>
      <w:r>
        <w:rPr>
          <w:rFonts w:hint="eastAsia" w:ascii="宋体" w:hAnsi="宋体" w:eastAsia="宋体" w:cs="宋体"/>
          <w:sz w:val="21"/>
          <w:szCs w:val="21"/>
        </w:rPr>
        <w:t>）的合同金额占合同总额的＿%；</w:t>
      </w:r>
    </w:p>
    <w:p>
      <w:pPr>
        <w:pStyle w:val="7"/>
        <w:widowControl/>
        <w:spacing w:before="75" w:beforeAutospacing="0" w:after="75" w:afterAutospacing="0" w:line="360" w:lineRule="atLeast"/>
        <w:ind w:firstLine="435"/>
      </w:pPr>
      <w:r>
        <w:rPr>
          <w:rFonts w:hint="eastAsia" w:ascii="宋体" w:hAnsi="宋体" w:eastAsia="宋体" w:cs="宋体"/>
          <w:sz w:val="21"/>
          <w:szCs w:val="21"/>
        </w:rPr>
        <w:t>……。</w:t>
      </w:r>
    </w:p>
    <w:p>
      <w:pPr>
        <w:pStyle w:val="7"/>
        <w:widowControl/>
        <w:ind w:firstLine="420"/>
      </w:pPr>
      <w:r>
        <w:rPr>
          <w:rFonts w:hint="eastAsia" w:ascii="宋体" w:hAnsi="宋体" w:eastAsia="宋体" w:cs="宋体"/>
          <w:sz w:val="21"/>
          <w:szCs w:val="21"/>
        </w:rPr>
        <w:t>三、联合体各方约定：</w:t>
      </w:r>
    </w:p>
    <w:p>
      <w:pPr>
        <w:pStyle w:val="7"/>
        <w:widowControl/>
        <w:ind w:firstLine="420"/>
      </w:pPr>
      <w:r>
        <w:rPr>
          <w:rFonts w:hint="eastAsia" w:ascii="宋体" w:hAnsi="宋体" w:eastAsia="宋体" w:cs="宋体"/>
          <w:sz w:val="21"/>
          <w:szCs w:val="21"/>
        </w:rPr>
        <w:t>1、由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7"/>
        <w:widowControl/>
        <w:ind w:firstLine="420"/>
      </w:pPr>
      <w:r>
        <w:rPr>
          <w:rFonts w:hint="eastAsia" w:ascii="宋体" w:hAnsi="宋体" w:eastAsia="宋体" w:cs="宋体"/>
          <w:sz w:val="21"/>
          <w:szCs w:val="21"/>
        </w:rPr>
        <w:t>2、联合体各方约定由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代表联合体办理投标保证金事宜。</w:t>
      </w:r>
    </w:p>
    <w:p>
      <w:pPr>
        <w:pStyle w:val="7"/>
        <w:widowControl/>
      </w:pPr>
      <w:r>
        <w:rPr>
          <w:rFonts w:hint="eastAsia" w:ascii="宋体" w:hAnsi="宋体" w:eastAsia="宋体" w:cs="宋体"/>
          <w:sz w:val="21"/>
          <w:szCs w:val="21"/>
        </w:rPr>
        <w:t>  3、</w:t>
      </w:r>
      <w:r>
        <w:rPr>
          <w:rFonts w:hint="eastAsia" w:ascii="宋体" w:hAnsi="宋体" w:eastAsia="宋体" w:cs="宋体"/>
          <w:color w:val="000000"/>
          <w:sz w:val="21"/>
          <w:szCs w:val="21"/>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color w:val="000000"/>
          <w:sz w:val="21"/>
          <w:szCs w:val="21"/>
          <w:u w:val="single"/>
        </w:rPr>
        <w:t>（应填写“其中一方的全称”，如：联合体确定以成员一的条件参与商务部分的评标，则填写“成员一的全称”…；否则填写“无”）</w:t>
      </w:r>
      <w:r>
        <w:rPr>
          <w:rFonts w:hint="eastAsia" w:ascii="宋体" w:hAnsi="宋体" w:eastAsia="宋体" w:cs="宋体"/>
          <w:color w:val="000000"/>
          <w:sz w:val="21"/>
          <w:szCs w:val="21"/>
        </w:rPr>
        <w:t>的条件参与商务部分的评标。</w:t>
      </w:r>
    </w:p>
    <w:p>
      <w:pPr>
        <w:pStyle w:val="7"/>
        <w:widowControl/>
        <w:ind w:firstLine="420"/>
      </w:pPr>
      <w:r>
        <w:rPr>
          <w:rFonts w:hint="eastAsia" w:ascii="宋体" w:hAnsi="宋体" w:eastAsia="宋体" w:cs="宋体"/>
          <w:sz w:val="21"/>
          <w:szCs w:val="21"/>
        </w:rPr>
        <w:t>四、若中标，牵头方将代表联合体与采购人就合同签订事宜进行协商；若协商一致，则联合体各方将共同与采购人签订政府采购合同，并就政府采购合同约定的事项对采购人承担连带责任。</w:t>
      </w:r>
    </w:p>
    <w:p>
      <w:pPr>
        <w:pStyle w:val="7"/>
        <w:widowControl/>
        <w:ind w:firstLine="420"/>
      </w:pPr>
      <w:r>
        <w:rPr>
          <w:rFonts w:hint="eastAsia" w:ascii="宋体" w:hAnsi="宋体" w:eastAsia="宋体" w:cs="宋体"/>
          <w:sz w:val="21"/>
          <w:szCs w:val="21"/>
        </w:rPr>
        <w:t>五、本协议自签署之日起生效，政府采购合同履行完毕后自动失效。</w:t>
      </w:r>
    </w:p>
    <w:p>
      <w:pPr>
        <w:pStyle w:val="7"/>
        <w:widowControl/>
        <w:ind w:firstLine="420"/>
      </w:pPr>
      <w:r>
        <w:rPr>
          <w:rFonts w:hint="eastAsia" w:ascii="宋体" w:hAnsi="宋体" w:eastAsia="宋体" w:cs="宋体"/>
          <w:sz w:val="21"/>
          <w:szCs w:val="21"/>
        </w:rPr>
        <w:t>六、本协议一式</w:t>
      </w:r>
      <w:r>
        <w:rPr>
          <w:rFonts w:hint="eastAsia" w:ascii="宋体" w:hAnsi="宋体" w:eastAsia="宋体" w:cs="宋体"/>
          <w:sz w:val="21"/>
          <w:szCs w:val="21"/>
          <w:u w:val="single"/>
        </w:rPr>
        <w:t>（填写具体份数）</w:t>
      </w:r>
      <w:r>
        <w:rPr>
          <w:rFonts w:hint="eastAsia" w:ascii="宋体" w:hAnsi="宋体" w:eastAsia="宋体" w:cs="宋体"/>
          <w:sz w:val="21"/>
          <w:szCs w:val="21"/>
        </w:rPr>
        <w:t>份，联合体各方各执一份，电子投标文件中提交一份。</w:t>
      </w:r>
    </w:p>
    <w:p>
      <w:pPr>
        <w:pStyle w:val="7"/>
        <w:widowControl/>
        <w:jc w:val="center"/>
      </w:pPr>
      <w:r>
        <w:rPr>
          <w:rFonts w:hint="eastAsia" w:ascii="宋体" w:hAnsi="宋体" w:eastAsia="宋体" w:cs="宋体"/>
          <w:sz w:val="21"/>
          <w:szCs w:val="21"/>
        </w:rPr>
        <w:t>（以下无正文）</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牵头方：</w:t>
      </w:r>
      <w:r>
        <w:rPr>
          <w:rFonts w:hint="eastAsia" w:ascii="宋体" w:hAnsi="宋体" w:eastAsia="宋体" w:cs="宋体"/>
          <w:sz w:val="21"/>
          <w:szCs w:val="21"/>
          <w:u w:val="single"/>
        </w:rPr>
        <w:t>（全称并加盖单位公章）</w:t>
      </w:r>
    </w:p>
    <w:p>
      <w:pPr>
        <w:pStyle w:val="7"/>
        <w:widowControl/>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成员一：</w:t>
      </w:r>
      <w:r>
        <w:rPr>
          <w:rFonts w:hint="eastAsia" w:ascii="宋体" w:hAnsi="宋体" w:eastAsia="宋体" w:cs="宋体"/>
          <w:sz w:val="21"/>
          <w:szCs w:val="21"/>
          <w:u w:val="single"/>
        </w:rPr>
        <w:t>（全称并加盖成员一的单位公章）</w:t>
      </w:r>
    </w:p>
    <w:p>
      <w:pPr>
        <w:pStyle w:val="7"/>
        <w:widowControl/>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7"/>
        <w:widowControl/>
      </w:pPr>
      <w:r>
        <w:rPr>
          <w:rFonts w:hint="eastAsia" w:ascii="宋体" w:hAnsi="宋体" w:eastAsia="宋体" w:cs="宋体"/>
          <w:sz w:val="21"/>
          <w:szCs w:val="21"/>
        </w:rPr>
        <w:t>……</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成员**：</w:t>
      </w:r>
      <w:r>
        <w:rPr>
          <w:rFonts w:hint="eastAsia" w:ascii="宋体" w:hAnsi="宋体" w:eastAsia="宋体" w:cs="宋体"/>
          <w:sz w:val="21"/>
          <w:szCs w:val="21"/>
          <w:u w:val="single"/>
        </w:rPr>
        <w:t>（全称并加盖成员**的单位公章）</w:t>
      </w:r>
    </w:p>
    <w:p>
      <w:pPr>
        <w:pStyle w:val="7"/>
        <w:widowControl/>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 </w:t>
      </w:r>
    </w:p>
    <w:p>
      <w:pPr>
        <w:pStyle w:val="7"/>
        <w:widowControl/>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※注意：</w:t>
      </w:r>
    </w:p>
    <w:p>
      <w:pPr>
        <w:pStyle w:val="7"/>
        <w:widowControl/>
      </w:pPr>
      <w:r>
        <w:rPr>
          <w:rFonts w:hint="eastAsia" w:ascii="宋体" w:hAnsi="宋体" w:eastAsia="宋体" w:cs="宋体"/>
          <w:sz w:val="21"/>
          <w:szCs w:val="21"/>
        </w:rPr>
        <w:t>1、招标文件接受联合体投标且投标人为联合体的，投标人应提供本协议；否则无须提供。</w:t>
      </w:r>
    </w:p>
    <w:p>
      <w:pPr>
        <w:pStyle w:val="7"/>
        <w:widowControl/>
      </w:pPr>
      <w:r>
        <w:rPr>
          <w:rFonts w:hint="eastAsia" w:ascii="宋体" w:hAnsi="宋体" w:eastAsia="宋体" w:cs="宋体"/>
          <w:sz w:val="21"/>
          <w:szCs w:val="21"/>
        </w:rPr>
        <w:t>2、本协议由委托代理人签字或盖章的，应按照本章载明的格式提供“单位授权书”。</w:t>
      </w:r>
    </w:p>
    <w:p>
      <w:pPr>
        <w:pStyle w:val="7"/>
        <w:widowControl/>
        <w:spacing w:before="75" w:beforeAutospacing="0" w:after="75" w:afterAutospacing="0"/>
      </w:pPr>
      <w:r>
        <w:rPr>
          <w:rFonts w:hint="eastAsia" w:ascii="宋体" w:hAnsi="宋体" w:eastAsia="宋体" w:cs="宋体"/>
          <w:sz w:val="21"/>
          <w:szCs w:val="21"/>
        </w:rPr>
        <w:t>3、在以联合体形式落实中小企业预留份额项目中，投标人除了要提供《中小企业声明函》，还需提供本协议。 </w:t>
      </w:r>
    </w:p>
    <w:p>
      <w:pPr>
        <w:pStyle w:val="2"/>
        <w:widowControl/>
        <w:spacing w:beforeAutospacing="0" w:afterAutospacing="0"/>
        <w:jc w:val="center"/>
        <w:rPr>
          <w:rFonts w:hint="default"/>
        </w:rPr>
      </w:pPr>
      <w:r>
        <w:rPr>
          <w:rStyle w:val="10"/>
          <w:rFonts w:cs="宋体"/>
          <w:b/>
        </w:rPr>
        <w:t>二-11分包意向协议（若有）</w:t>
      </w:r>
    </w:p>
    <w:p>
      <w:pPr>
        <w:pStyle w:val="7"/>
        <w:widowControl/>
        <w:spacing w:line="435" w:lineRule="atLeast"/>
      </w:pPr>
      <w:r>
        <w:rPr>
          <w:rFonts w:hint="eastAsia" w:ascii="宋体" w:hAnsi="宋体" w:eastAsia="宋体" w:cs="宋体"/>
          <w:sz w:val="21"/>
          <w:szCs w:val="21"/>
        </w:rPr>
        <w:t>甲方（总包方）：</w:t>
      </w:r>
      <w:r>
        <w:rPr>
          <w:rFonts w:hint="eastAsia" w:ascii="宋体" w:hAnsi="宋体" w:eastAsia="宋体" w:cs="宋体"/>
          <w:sz w:val="21"/>
          <w:szCs w:val="21"/>
          <w:u w:val="single"/>
        </w:rPr>
        <w:t>     　     </w:t>
      </w:r>
      <w:r>
        <w:rPr>
          <w:u w:val="single"/>
        </w:rPr>
        <w:t>　</w:t>
      </w:r>
      <w:r>
        <w:rPr>
          <w:rFonts w:hint="eastAsia" w:ascii="宋体" w:hAnsi="宋体" w:eastAsia="宋体" w:cs="宋体"/>
          <w:sz w:val="21"/>
          <w:szCs w:val="21"/>
        </w:rPr>
        <w:t>（即本项目的投标人）</w:t>
      </w:r>
    </w:p>
    <w:p>
      <w:pPr>
        <w:pStyle w:val="7"/>
        <w:widowControl/>
        <w:spacing w:before="75" w:beforeAutospacing="0" w:after="75" w:afterAutospacing="0" w:line="360" w:lineRule="atLeast"/>
      </w:pPr>
      <w:r>
        <w:rPr>
          <w:rFonts w:hint="eastAsia" w:ascii="宋体" w:hAnsi="宋体" w:eastAsia="宋体" w:cs="宋体"/>
          <w:sz w:val="21"/>
          <w:szCs w:val="21"/>
        </w:rPr>
        <w:t>乙方（分包方）：</w:t>
      </w:r>
      <w:r>
        <w:rPr>
          <w:rFonts w:hint="eastAsia" w:ascii="宋体" w:hAnsi="宋体" w:eastAsia="宋体" w:cs="宋体"/>
          <w:sz w:val="21"/>
          <w:szCs w:val="21"/>
          <w:u w:val="single"/>
        </w:rPr>
        <w:t>          　　    </w:t>
      </w:r>
    </w:p>
    <w:p>
      <w:pPr>
        <w:pStyle w:val="7"/>
        <w:widowControl/>
        <w:spacing w:before="75" w:beforeAutospacing="0" w:after="75" w:afterAutospacing="0" w:line="360" w:lineRule="atLeast"/>
        <w:ind w:firstLine="435"/>
      </w:pPr>
      <w:r>
        <w:rPr>
          <w:rFonts w:hint="eastAsia" w:ascii="宋体" w:hAnsi="宋体" w:eastAsia="宋体" w:cs="宋体"/>
          <w:sz w:val="21"/>
          <w:szCs w:val="21"/>
        </w:rPr>
        <w:t>兹有甲方参加</w:t>
      </w:r>
      <w:r>
        <w:rPr>
          <w:rFonts w:hint="eastAsia" w:ascii="宋体" w:hAnsi="宋体" w:eastAsia="宋体" w:cs="宋体"/>
          <w:sz w:val="21"/>
          <w:szCs w:val="21"/>
          <w:u w:val="single"/>
        </w:rPr>
        <w:t>（填写“项目名称”） </w:t>
      </w:r>
      <w:r>
        <w:rPr>
          <w:rFonts w:hint="eastAsia" w:ascii="宋体" w:hAnsi="宋体" w:eastAsia="宋体" w:cs="宋体"/>
          <w:sz w:val="21"/>
          <w:szCs w:val="21"/>
        </w:rPr>
        <w:t>项目（项目编号：</w:t>
      </w:r>
      <w:r>
        <w:rPr>
          <w:rFonts w:ascii="Calibri" w:hAnsi="Calibri" w:cs="Calibri"/>
          <w:sz w:val="21"/>
          <w:szCs w:val="21"/>
          <w:u w:val="single"/>
        </w:rPr>
        <w:t>         </w:t>
      </w:r>
      <w:r>
        <w:rPr>
          <w:rFonts w:hint="eastAsia" w:ascii="宋体" w:hAnsi="宋体" w:eastAsia="宋体" w:cs="宋体"/>
          <w:sz w:val="21"/>
          <w:szCs w:val="21"/>
        </w:rPr>
        <w:t>）的政府采购活动。甲方期望将采购项目的部分采购标的分包给乙方完成，而乙方保证能够向甲方提供本协议项下的采购标的，甲、乙双方就合同分包的有关事宜达成下列协议：</w:t>
      </w:r>
    </w:p>
    <w:p>
      <w:pPr>
        <w:pStyle w:val="7"/>
        <w:widowControl/>
        <w:spacing w:beforeAutospacing="0" w:afterAutospacing="0" w:line="360" w:lineRule="atLeast"/>
        <w:ind w:firstLine="480"/>
      </w:pPr>
      <w:r>
        <w:rPr>
          <w:rStyle w:val="10"/>
          <w:rFonts w:hint="eastAsia" w:ascii="宋体" w:hAnsi="宋体" w:eastAsia="宋体" w:cs="宋体"/>
          <w:sz w:val="21"/>
          <w:szCs w:val="21"/>
        </w:rPr>
        <w:t>一、分包标的</w:t>
      </w:r>
    </w:p>
    <w:p>
      <w:pPr>
        <w:pStyle w:val="7"/>
        <w:widowControl/>
        <w:spacing w:beforeAutospacing="0" w:afterAutospacing="0" w:line="360" w:lineRule="atLeast"/>
        <w:ind w:firstLine="480"/>
      </w:pPr>
      <w:r>
        <w:rPr>
          <w:rFonts w:hint="eastAsia" w:ascii="宋体" w:hAnsi="宋体" w:eastAsia="宋体" w:cs="宋体"/>
          <w:sz w:val="21"/>
          <w:szCs w:val="21"/>
          <w:u w:val="single"/>
        </w:rPr>
        <w:t>（根据双方的意向填写，可以是表格或文字描述）</w:t>
      </w:r>
      <w:r>
        <w:rPr>
          <w:rFonts w:hint="eastAsia" w:ascii="宋体" w:hAnsi="宋体" w:eastAsia="宋体" w:cs="宋体"/>
          <w:sz w:val="21"/>
          <w:szCs w:val="21"/>
        </w:rPr>
        <w:t>。</w:t>
      </w:r>
    </w:p>
    <w:p>
      <w:pPr>
        <w:pStyle w:val="7"/>
        <w:widowControl/>
        <w:spacing w:beforeAutospacing="0" w:afterAutospacing="0" w:line="360" w:lineRule="atLeast"/>
        <w:ind w:firstLine="480"/>
      </w:pPr>
      <w:r>
        <w:rPr>
          <w:rStyle w:val="10"/>
          <w:rFonts w:hint="eastAsia" w:ascii="宋体" w:hAnsi="宋体" w:eastAsia="宋体" w:cs="宋体"/>
          <w:sz w:val="21"/>
          <w:szCs w:val="21"/>
        </w:rPr>
        <w:t>二、分包合同金额占比</w:t>
      </w:r>
    </w:p>
    <w:p>
      <w:pPr>
        <w:pStyle w:val="7"/>
        <w:widowControl/>
        <w:spacing w:beforeAutospacing="0" w:afterAutospacing="0" w:line="360" w:lineRule="atLeast"/>
        <w:ind w:firstLine="480"/>
      </w:pPr>
      <w:r>
        <w:rPr>
          <w:rFonts w:hint="eastAsia" w:ascii="宋体" w:hAnsi="宋体" w:eastAsia="宋体" w:cs="宋体"/>
          <w:sz w:val="21"/>
          <w:szCs w:val="21"/>
        </w:rPr>
        <w:t>分包合同价占投标总价的比例：　　%</w:t>
      </w:r>
    </w:p>
    <w:p>
      <w:pPr>
        <w:pStyle w:val="7"/>
        <w:widowControl/>
        <w:spacing w:beforeAutospacing="0" w:afterAutospacing="0" w:line="360" w:lineRule="atLeast"/>
        <w:ind w:firstLine="480"/>
      </w:pPr>
      <w:r>
        <w:rPr>
          <w:rStyle w:val="10"/>
          <w:rFonts w:hint="eastAsia" w:ascii="宋体" w:hAnsi="宋体" w:eastAsia="宋体" w:cs="宋体"/>
          <w:sz w:val="21"/>
          <w:szCs w:val="21"/>
        </w:rPr>
        <w:t>三、其他条款</w:t>
      </w:r>
    </w:p>
    <w:p>
      <w:pPr>
        <w:pStyle w:val="7"/>
        <w:widowControl/>
        <w:spacing w:beforeAutospacing="0" w:afterAutospacing="0" w:line="360" w:lineRule="atLeast"/>
        <w:ind w:firstLine="480"/>
      </w:pPr>
      <w:r>
        <w:rPr>
          <w:rFonts w:hint="eastAsia" w:ascii="宋体" w:hAnsi="宋体" w:eastAsia="宋体" w:cs="宋体"/>
          <w:sz w:val="21"/>
          <w:szCs w:val="21"/>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pPr>
        <w:pStyle w:val="7"/>
        <w:widowControl/>
        <w:spacing w:beforeAutospacing="0" w:afterAutospacing="0" w:line="360" w:lineRule="atLeast"/>
        <w:ind w:firstLine="480"/>
      </w:pPr>
      <w:r>
        <w:rPr>
          <w:rFonts w:hint="eastAsia" w:ascii="宋体" w:hAnsi="宋体" w:eastAsia="宋体" w:cs="宋体"/>
          <w:sz w:val="21"/>
          <w:szCs w:val="21"/>
        </w:rPr>
        <w:t> </w:t>
      </w:r>
    </w:p>
    <w:tbl>
      <w:tblPr>
        <w:tblStyle w:val="8"/>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4290"/>
        <w:gridCol w:w="41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245" w:type="dxa"/>
            <w:tcBorders>
              <w:top w:val="nil"/>
              <w:left w:val="nil"/>
              <w:bottom w:val="nil"/>
              <w:right w:val="nil"/>
            </w:tcBorders>
            <w:shd w:val="clear" w:color="auto" w:fill="auto"/>
            <w:tcMar>
              <w:top w:w="0" w:type="dxa"/>
              <w:left w:w="105" w:type="dxa"/>
              <w:bottom w:w="0" w:type="dxa"/>
              <w:right w:w="105" w:type="dxa"/>
            </w:tcMar>
            <w:vAlign w:val="center"/>
          </w:tcPr>
          <w:p>
            <w:pPr>
              <w:pStyle w:val="7"/>
              <w:widowControl/>
              <w:spacing w:before="75" w:beforeAutospacing="0" w:after="75" w:afterAutospacing="0"/>
              <w:jc w:val="both"/>
            </w:pPr>
            <w:r>
              <w:rPr>
                <w:rFonts w:hint="eastAsia" w:ascii="宋体" w:hAnsi="宋体" w:eastAsia="宋体" w:cs="宋体"/>
                <w:sz w:val="21"/>
                <w:szCs w:val="21"/>
              </w:rPr>
              <w:t>甲方：</w:t>
            </w: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7"/>
              <w:widowControl/>
              <w:spacing w:before="75" w:beforeAutospacing="0" w:after="75" w:afterAutospacing="0"/>
              <w:jc w:val="both"/>
            </w:pPr>
            <w:r>
              <w:rPr>
                <w:rFonts w:hint="eastAsia" w:ascii="宋体" w:hAnsi="宋体" w:eastAsia="宋体" w:cs="宋体"/>
                <w:sz w:val="21"/>
                <w:szCs w:val="21"/>
              </w:rPr>
              <w:t>乙方：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245" w:type="dxa"/>
            <w:tcBorders>
              <w:top w:val="nil"/>
              <w:left w:val="nil"/>
              <w:bottom w:val="nil"/>
              <w:right w:val="nil"/>
            </w:tcBorders>
            <w:shd w:val="clear" w:color="auto" w:fill="auto"/>
            <w:tcMar>
              <w:top w:w="0" w:type="dxa"/>
              <w:left w:w="105" w:type="dxa"/>
              <w:bottom w:w="0" w:type="dxa"/>
              <w:right w:w="105" w:type="dxa"/>
            </w:tcMar>
            <w:vAlign w:val="center"/>
          </w:tcPr>
          <w:p>
            <w:pPr>
              <w:pStyle w:val="7"/>
              <w:widowControl/>
              <w:spacing w:before="75" w:beforeAutospacing="0" w:after="75" w:afterAutospacing="0"/>
              <w:jc w:val="both"/>
            </w:pPr>
            <w:r>
              <w:rPr>
                <w:rFonts w:hint="eastAsia" w:ascii="宋体" w:hAnsi="宋体" w:eastAsia="宋体" w:cs="宋体"/>
                <w:sz w:val="21"/>
                <w:szCs w:val="21"/>
              </w:rPr>
              <w:t>住所：</w:t>
            </w: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7"/>
              <w:widowControl/>
              <w:spacing w:before="75" w:beforeAutospacing="0" w:after="75" w:afterAutospacing="0"/>
              <w:jc w:val="both"/>
            </w:pPr>
            <w:r>
              <w:rPr>
                <w:rFonts w:hint="eastAsia" w:ascii="宋体" w:hAnsi="宋体" w:eastAsia="宋体" w:cs="宋体"/>
                <w:sz w:val="21"/>
                <w:szCs w:val="21"/>
              </w:rPr>
              <w:t>住所：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245" w:type="dxa"/>
            <w:tcBorders>
              <w:top w:val="nil"/>
              <w:left w:val="nil"/>
              <w:bottom w:val="nil"/>
              <w:right w:val="nil"/>
            </w:tcBorders>
            <w:shd w:val="clear" w:color="auto" w:fill="auto"/>
            <w:tcMar>
              <w:top w:w="0" w:type="dxa"/>
              <w:left w:w="105" w:type="dxa"/>
              <w:bottom w:w="0" w:type="dxa"/>
              <w:right w:w="105" w:type="dxa"/>
            </w:tcMar>
            <w:vAlign w:val="center"/>
          </w:tcPr>
          <w:p>
            <w:pPr>
              <w:pStyle w:val="7"/>
              <w:widowControl/>
              <w:spacing w:before="75" w:beforeAutospacing="0" w:after="75" w:afterAutospacing="0"/>
              <w:jc w:val="both"/>
            </w:pPr>
            <w:r>
              <w:rPr>
                <w:rFonts w:hint="eastAsia" w:ascii="宋体" w:hAnsi="宋体" w:eastAsia="宋体" w:cs="宋体"/>
                <w:sz w:val="21"/>
                <w:szCs w:val="21"/>
              </w:rPr>
              <w:t>单</w:t>
            </w:r>
            <w:r>
              <w:rPr>
                <w:rFonts w:hint="eastAsia" w:ascii="宋体" w:hAnsi="宋体" w:eastAsia="宋体" w:cs="宋体"/>
                <w:spacing w:val="-15"/>
                <w:sz w:val="21"/>
                <w:szCs w:val="21"/>
              </w:rPr>
              <w:t>位负责人或委托代理人：</w:t>
            </w: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7"/>
              <w:widowControl/>
              <w:spacing w:before="75" w:beforeAutospacing="0" w:after="75" w:afterAutospacing="0"/>
              <w:jc w:val="both"/>
            </w:pPr>
            <w:r>
              <w:rPr>
                <w:rFonts w:hint="eastAsia" w:ascii="宋体" w:hAnsi="宋体" w:eastAsia="宋体" w:cs="宋体"/>
                <w:sz w:val="21"/>
                <w:szCs w:val="21"/>
              </w:rPr>
              <w:t>单</w:t>
            </w:r>
            <w:r>
              <w:rPr>
                <w:rFonts w:hint="eastAsia" w:ascii="宋体" w:hAnsi="宋体" w:eastAsia="宋体" w:cs="宋体"/>
                <w:spacing w:val="-15"/>
                <w:sz w:val="21"/>
                <w:szCs w:val="21"/>
              </w:rPr>
              <w:t>位负责人或委托代理人：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245" w:type="dxa"/>
            <w:tcBorders>
              <w:top w:val="nil"/>
              <w:left w:val="nil"/>
              <w:bottom w:val="nil"/>
              <w:right w:val="nil"/>
            </w:tcBorders>
            <w:shd w:val="clear" w:color="auto" w:fill="auto"/>
            <w:tcMar>
              <w:top w:w="0" w:type="dxa"/>
              <w:left w:w="105" w:type="dxa"/>
              <w:bottom w:w="0" w:type="dxa"/>
              <w:right w:w="105" w:type="dxa"/>
            </w:tcMar>
            <w:vAlign w:val="center"/>
          </w:tcPr>
          <w:p>
            <w:pPr>
              <w:pStyle w:val="7"/>
              <w:widowControl/>
              <w:spacing w:before="75" w:beforeAutospacing="0" w:after="75" w:afterAutospacing="0"/>
              <w:jc w:val="both"/>
            </w:pPr>
            <w:r>
              <w:rPr>
                <w:rFonts w:hint="eastAsia" w:ascii="宋体" w:hAnsi="宋体" w:eastAsia="宋体" w:cs="宋体"/>
                <w:sz w:val="21"/>
                <w:szCs w:val="21"/>
              </w:rPr>
              <w:t>联系方法：</w:t>
            </w: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7"/>
              <w:widowControl/>
              <w:spacing w:before="75" w:beforeAutospacing="0" w:after="75" w:afterAutospacing="0"/>
              <w:jc w:val="both"/>
            </w:pPr>
            <w:r>
              <w:rPr>
                <w:rFonts w:hint="eastAsia" w:ascii="宋体" w:hAnsi="宋体" w:eastAsia="宋体" w:cs="宋体"/>
                <w:sz w:val="21"/>
                <w:szCs w:val="21"/>
              </w:rPr>
              <w:t>联系方法：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245" w:type="dxa"/>
            <w:tcBorders>
              <w:top w:val="nil"/>
              <w:left w:val="nil"/>
              <w:bottom w:val="nil"/>
              <w:right w:val="nil"/>
            </w:tcBorders>
            <w:shd w:val="clear" w:color="auto" w:fill="auto"/>
            <w:tcMar>
              <w:top w:w="0" w:type="dxa"/>
              <w:left w:w="105" w:type="dxa"/>
              <w:bottom w:w="0" w:type="dxa"/>
              <w:right w:w="105" w:type="dxa"/>
            </w:tcMar>
            <w:vAlign w:val="center"/>
          </w:tcPr>
          <w:p>
            <w:pPr>
              <w:pStyle w:val="7"/>
              <w:widowControl/>
              <w:spacing w:before="75" w:beforeAutospacing="0" w:after="75" w:afterAutospacing="0"/>
              <w:jc w:val="both"/>
            </w:pPr>
            <w:r>
              <w:rPr>
                <w:rFonts w:hint="eastAsia" w:ascii="宋体" w:hAnsi="宋体" w:eastAsia="宋体" w:cs="宋体"/>
                <w:sz w:val="21"/>
                <w:szCs w:val="21"/>
              </w:rPr>
              <w:t>开户银行：</w:t>
            </w: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7"/>
              <w:widowControl/>
              <w:spacing w:before="75" w:beforeAutospacing="0" w:after="75" w:afterAutospacing="0"/>
              <w:jc w:val="both"/>
            </w:pPr>
            <w:r>
              <w:rPr>
                <w:rFonts w:hint="eastAsia" w:ascii="宋体" w:hAnsi="宋体" w:eastAsia="宋体" w:cs="宋体"/>
                <w:sz w:val="21"/>
                <w:szCs w:val="21"/>
              </w:rPr>
              <w:t>开户银行：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245" w:type="dxa"/>
            <w:tcBorders>
              <w:top w:val="nil"/>
              <w:left w:val="nil"/>
              <w:bottom w:val="nil"/>
              <w:right w:val="nil"/>
            </w:tcBorders>
            <w:shd w:val="clear" w:color="auto" w:fill="auto"/>
            <w:tcMar>
              <w:top w:w="0" w:type="dxa"/>
              <w:left w:w="105" w:type="dxa"/>
              <w:bottom w:w="0" w:type="dxa"/>
              <w:right w:w="105" w:type="dxa"/>
            </w:tcMar>
            <w:vAlign w:val="center"/>
          </w:tcPr>
          <w:p>
            <w:pPr>
              <w:pStyle w:val="7"/>
              <w:widowControl/>
              <w:spacing w:before="75" w:beforeAutospacing="0" w:after="75" w:afterAutospacing="0"/>
              <w:jc w:val="both"/>
            </w:pPr>
            <w:r>
              <w:rPr>
                <w:rFonts w:hint="eastAsia" w:ascii="宋体" w:hAnsi="宋体" w:eastAsia="宋体" w:cs="宋体"/>
                <w:sz w:val="21"/>
                <w:szCs w:val="21"/>
              </w:rPr>
              <w:t>账号：</w:t>
            </w:r>
          </w:p>
        </w:tc>
        <w:tc>
          <w:tcPr>
            <w:tcW w:w="4065" w:type="dxa"/>
            <w:tcBorders>
              <w:top w:val="nil"/>
              <w:left w:val="nil"/>
              <w:bottom w:val="nil"/>
              <w:right w:val="nil"/>
            </w:tcBorders>
            <w:shd w:val="clear" w:color="auto" w:fill="auto"/>
            <w:tcMar>
              <w:top w:w="0" w:type="dxa"/>
              <w:left w:w="105" w:type="dxa"/>
              <w:bottom w:w="0" w:type="dxa"/>
              <w:right w:w="105" w:type="dxa"/>
            </w:tcMar>
            <w:vAlign w:val="center"/>
          </w:tcPr>
          <w:p>
            <w:pPr>
              <w:pStyle w:val="7"/>
              <w:widowControl/>
              <w:spacing w:before="75" w:beforeAutospacing="0" w:after="75" w:afterAutospacing="0"/>
              <w:jc w:val="both"/>
            </w:pPr>
            <w:r>
              <w:rPr>
                <w:rFonts w:hint="eastAsia" w:ascii="宋体" w:hAnsi="宋体" w:eastAsia="宋体" w:cs="宋体"/>
                <w:sz w:val="21"/>
                <w:szCs w:val="21"/>
              </w:rPr>
              <w:t>账号：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8310" w:type="dxa"/>
            <w:gridSpan w:val="2"/>
            <w:tcBorders>
              <w:top w:val="nil"/>
              <w:left w:val="nil"/>
              <w:bottom w:val="nil"/>
              <w:right w:val="nil"/>
            </w:tcBorders>
            <w:shd w:val="clear" w:color="auto" w:fill="auto"/>
            <w:tcMar>
              <w:top w:w="0" w:type="dxa"/>
              <w:left w:w="105" w:type="dxa"/>
              <w:bottom w:w="0" w:type="dxa"/>
              <w:right w:w="105" w:type="dxa"/>
            </w:tcMar>
          </w:tcPr>
          <w:p>
            <w:pPr>
              <w:pStyle w:val="7"/>
              <w:widowControl/>
              <w:spacing w:before="150" w:beforeAutospacing="0" w:afterAutospacing="0"/>
              <w:ind w:left="3045"/>
            </w:pPr>
            <w:r>
              <w:rPr>
                <w:rFonts w:hint="eastAsia" w:ascii="宋体" w:hAnsi="宋体" w:eastAsia="宋体" w:cs="宋体"/>
                <w:sz w:val="21"/>
                <w:szCs w:val="21"/>
              </w:rPr>
              <w:t>签订地点：</w:t>
            </w:r>
            <w:r>
              <w:rPr>
                <w:rFonts w:ascii="Calibri" w:hAnsi="Calibri" w:cs="Calibri"/>
                <w:sz w:val="21"/>
                <w:szCs w:val="21"/>
                <w:u w:val="single"/>
              </w:rPr>
              <w:t>                </w:t>
            </w:r>
          </w:p>
          <w:p>
            <w:pPr>
              <w:pStyle w:val="7"/>
              <w:widowControl/>
              <w:spacing w:beforeAutospacing="0" w:afterAutospacing="0" w:line="360" w:lineRule="atLeast"/>
              <w:ind w:left="3045"/>
            </w:pPr>
            <w:r>
              <w:rPr>
                <w:rFonts w:hint="eastAsia" w:ascii="宋体" w:hAnsi="宋体" w:eastAsia="宋体" w:cs="宋体"/>
                <w:sz w:val="21"/>
                <w:szCs w:val="21"/>
              </w:rPr>
              <w:t>签订日期：</w:t>
            </w:r>
            <w:r>
              <w:rPr>
                <w:rFonts w:ascii="Calibri" w:hAnsi="Calibri" w:cs="Calibri"/>
                <w:sz w:val="21"/>
                <w:szCs w:val="21"/>
              </w:rPr>
              <w:t>    </w:t>
            </w:r>
            <w:r>
              <w:rPr>
                <w:rFonts w:hint="eastAsia" w:ascii="宋体" w:hAnsi="宋体" w:eastAsia="宋体" w:cs="宋体"/>
                <w:sz w:val="21"/>
                <w:szCs w:val="21"/>
              </w:rPr>
              <w:t>年</w:t>
            </w:r>
            <w:r>
              <w:rPr>
                <w:rFonts w:ascii="Calibri" w:hAnsi="Calibri" w:cs="Calibri"/>
                <w:sz w:val="21"/>
                <w:szCs w:val="21"/>
              </w:rPr>
              <w:t>   </w:t>
            </w:r>
            <w:r>
              <w:rPr>
                <w:rFonts w:hint="eastAsia" w:ascii="宋体" w:hAnsi="宋体" w:eastAsia="宋体" w:cs="宋体"/>
                <w:sz w:val="21"/>
                <w:szCs w:val="21"/>
              </w:rPr>
              <w:t>月</w:t>
            </w:r>
            <w:r>
              <w:rPr>
                <w:rFonts w:ascii="Calibri" w:hAnsi="Calibri" w:cs="Calibri"/>
                <w:sz w:val="21"/>
                <w:szCs w:val="21"/>
              </w:rPr>
              <w:t>   </w:t>
            </w:r>
            <w:r>
              <w:rPr>
                <w:rFonts w:hint="eastAsia" w:ascii="宋体" w:hAnsi="宋体" w:eastAsia="宋体" w:cs="宋体"/>
                <w:sz w:val="21"/>
                <w:szCs w:val="21"/>
              </w:rPr>
              <w:t>日</w:t>
            </w:r>
          </w:p>
        </w:tc>
      </w:tr>
    </w:tbl>
    <w:p>
      <w:pPr>
        <w:pStyle w:val="7"/>
        <w:widowControl/>
        <w:spacing w:before="75" w:beforeAutospacing="0" w:after="75" w:afterAutospacing="0"/>
      </w:pPr>
      <w:r>
        <w:rPr>
          <w:rStyle w:val="10"/>
          <w:rFonts w:hint="eastAsia" w:ascii="宋体" w:hAnsi="宋体" w:eastAsia="宋体" w:cs="宋体"/>
          <w:sz w:val="21"/>
          <w:szCs w:val="21"/>
        </w:rPr>
        <w:t>※注意：</w:t>
      </w:r>
    </w:p>
    <w:p>
      <w:pPr>
        <w:pStyle w:val="7"/>
        <w:widowControl/>
        <w:spacing w:line="360" w:lineRule="atLeast"/>
        <w:ind w:firstLine="435"/>
      </w:pPr>
      <w:r>
        <w:rPr>
          <w:rStyle w:val="10"/>
          <w:rFonts w:hint="eastAsia" w:ascii="宋体" w:hAnsi="宋体" w:eastAsia="宋体" w:cs="宋体"/>
          <w:sz w:val="21"/>
          <w:szCs w:val="21"/>
        </w:rPr>
        <w:t>1.招标文件接受合同分包且投标人拟将合同分包的，应提供本协议；否则无须提供。</w:t>
      </w:r>
    </w:p>
    <w:p>
      <w:pPr>
        <w:pStyle w:val="7"/>
        <w:widowControl/>
        <w:spacing w:line="360" w:lineRule="atLeast"/>
        <w:ind w:firstLine="435"/>
      </w:pPr>
      <w:r>
        <w:rPr>
          <w:rStyle w:val="10"/>
          <w:rFonts w:hint="eastAsia" w:ascii="宋体" w:hAnsi="宋体" w:eastAsia="宋体" w:cs="宋体"/>
          <w:sz w:val="21"/>
          <w:szCs w:val="21"/>
        </w:rPr>
        <w:t>2.本协议由委托代理人签字或盖章的，应按照本章载明的格式提供“单位授权书”。</w:t>
      </w:r>
    </w:p>
    <w:p>
      <w:pPr>
        <w:pStyle w:val="7"/>
        <w:widowControl/>
        <w:spacing w:line="360" w:lineRule="atLeast"/>
        <w:ind w:firstLine="435"/>
      </w:pPr>
      <w:r>
        <w:rPr>
          <w:rStyle w:val="10"/>
          <w:rFonts w:hint="eastAsia" w:ascii="宋体" w:hAnsi="宋体" w:eastAsia="宋体" w:cs="宋体"/>
          <w:sz w:val="21"/>
          <w:szCs w:val="21"/>
        </w:rPr>
        <w:t>3.在以合同分包形式落实中小企业预留份额项目中，投标人除了要提供《中小企业声明函》，还需提供本协议。 </w:t>
      </w:r>
    </w:p>
    <w:p>
      <w:pPr>
        <w:pStyle w:val="7"/>
        <w:widowControl/>
      </w:pPr>
    </w:p>
    <w:p>
      <w:pPr>
        <w:pStyle w:val="7"/>
        <w:widowControl/>
        <w:spacing w:after="240" w:afterAutospacing="0"/>
      </w:pPr>
    </w:p>
    <w:p>
      <w:pPr>
        <w:pStyle w:val="7"/>
        <w:widowControl/>
        <w:jc w:val="center"/>
      </w:pPr>
      <w:r>
        <w:rPr>
          <w:rStyle w:val="10"/>
          <w:rFonts w:hint="eastAsia" w:ascii="宋体" w:hAnsi="宋体" w:eastAsia="宋体" w:cs="宋体"/>
          <w:sz w:val="21"/>
          <w:szCs w:val="21"/>
        </w:rPr>
        <w:t>二-12其他资格证明文件（若有）</w:t>
      </w:r>
    </w:p>
    <w:p>
      <w:pPr>
        <w:pStyle w:val="7"/>
        <w:widowControl/>
        <w:jc w:val="center"/>
      </w:pPr>
      <w:r>
        <w:rPr>
          <w:rFonts w:hint="eastAsia" w:ascii="宋体" w:hAnsi="宋体" w:eastAsia="宋体" w:cs="宋体"/>
          <w:sz w:val="21"/>
          <w:szCs w:val="21"/>
        </w:rPr>
        <w:t>二</w:t>
      </w:r>
      <w:r>
        <w:rPr>
          <w:rStyle w:val="10"/>
          <w:rFonts w:hint="eastAsia" w:ascii="宋体" w:hAnsi="宋体" w:eastAsia="宋体" w:cs="宋体"/>
          <w:sz w:val="21"/>
          <w:szCs w:val="21"/>
        </w:rPr>
        <w:t>-12-①具备履行合同所必需设备和专业技术能力专项证明材料（若有）</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致：</w:t>
      </w:r>
      <w:r>
        <w:rPr>
          <w:rFonts w:hint="eastAsia" w:ascii="宋体" w:hAnsi="宋体" w:eastAsia="宋体" w:cs="宋体"/>
          <w:sz w:val="21"/>
          <w:szCs w:val="21"/>
          <w:u w:val="single"/>
        </w:rPr>
        <w:t>          （采购人或采购代理机构）  </w:t>
      </w:r>
    </w:p>
    <w:p>
      <w:pPr>
        <w:pStyle w:val="7"/>
        <w:widowControl/>
        <w:ind w:firstLine="420"/>
      </w:pPr>
      <w:r>
        <w:rPr>
          <w:rFonts w:hint="eastAsia" w:ascii="宋体" w:hAnsi="宋体" w:eastAsia="宋体" w:cs="宋体"/>
          <w:sz w:val="21"/>
          <w:szCs w:val="21"/>
        </w:rPr>
        <w:t>现附上我方具备履行合同所必需的设备和专业技术能力的专项证明材料复印件（具体附后），上述证明材料真实有效，否则我方负全部责任。</w:t>
      </w:r>
    </w:p>
    <w:p>
      <w:pPr>
        <w:pStyle w:val="7"/>
        <w:widowControl/>
      </w:pPr>
      <w:r>
        <w:rPr>
          <w:rFonts w:ascii="Calibri" w:hAnsi="Calibri" w:cs="Calibri"/>
          <w:sz w:val="21"/>
          <w:szCs w:val="21"/>
        </w:rPr>
        <w:t> </w:t>
      </w:r>
    </w:p>
    <w:p>
      <w:pPr>
        <w:pStyle w:val="7"/>
        <w:widowControl/>
        <w:spacing w:beforeAutospacing="0" w:afterAutospacing="0"/>
      </w:pPr>
      <w:r>
        <w:rPr>
          <w:rFonts w:hint="eastAsia" w:ascii="宋体" w:hAnsi="宋体" w:eastAsia="宋体" w:cs="宋体"/>
          <w:sz w:val="21"/>
          <w:szCs w:val="21"/>
        </w:rPr>
        <w:t>※注意：</w:t>
      </w:r>
    </w:p>
    <w:p>
      <w:pPr>
        <w:pStyle w:val="7"/>
        <w:widowControl/>
        <w:spacing w:beforeAutospacing="0" w:afterAutospacing="0"/>
      </w:pPr>
      <w:r>
        <w:rPr>
          <w:rFonts w:hint="eastAsia" w:ascii="宋体" w:hAnsi="宋体" w:eastAsia="宋体" w:cs="宋体"/>
          <w:sz w:val="21"/>
          <w:szCs w:val="21"/>
        </w:rPr>
        <w:t>1、招标文件要求投标人提供“具备履行合同所必需的设备和专业技术能力专项证明材料”的，投标人应按照招标文件规定在此项下提供相应证明材料复印件。</w:t>
      </w:r>
    </w:p>
    <w:p>
      <w:pPr>
        <w:pStyle w:val="7"/>
        <w:widowControl/>
        <w:spacing w:beforeAutospacing="0" w:afterAutospacing="0"/>
      </w:pPr>
      <w:r>
        <w:rPr>
          <w:rFonts w:hint="eastAsia" w:ascii="宋体" w:hAnsi="宋体" w:eastAsia="宋体" w:cs="宋体"/>
          <w:sz w:val="21"/>
          <w:szCs w:val="21"/>
        </w:rPr>
        <w:t>2、投标人提供的相应证明材料复印件均应符合：内容完整、清晰、整洁，并由投标人加盖其单位公章。</w:t>
      </w:r>
    </w:p>
    <w:p>
      <w:pPr>
        <w:pStyle w:val="7"/>
        <w:widowControl/>
      </w:pPr>
      <w:r>
        <w:rPr>
          <w:rFonts w:ascii="Calibri" w:hAnsi="Calibri" w:cs="Calibri"/>
          <w:sz w:val="21"/>
          <w:szCs w:val="21"/>
        </w:rPr>
        <w:t> </w:t>
      </w:r>
    </w:p>
    <w:p>
      <w:pPr>
        <w:pStyle w:val="7"/>
        <w:widowControl/>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jc w:val="center"/>
        <w:rPr>
          <w:rFonts w:ascii="Calibri" w:hAnsi="Calibri" w:cs="Calibri"/>
          <w:sz w:val="21"/>
          <w:szCs w:val="21"/>
        </w:rPr>
      </w:pPr>
    </w:p>
    <w:p>
      <w:pPr>
        <w:pStyle w:val="7"/>
        <w:widowControl/>
        <w:jc w:val="center"/>
      </w:pPr>
      <w:r>
        <w:rPr>
          <w:rStyle w:val="10"/>
          <w:rFonts w:hint="eastAsia" w:ascii="宋体" w:hAnsi="宋体" w:eastAsia="宋体" w:cs="宋体"/>
          <w:sz w:val="21"/>
          <w:szCs w:val="21"/>
        </w:rPr>
        <w:t>二-12-②招标文件规定的其他资格证明文件（若有）</w:t>
      </w:r>
    </w:p>
    <w:p>
      <w:pPr>
        <w:pStyle w:val="7"/>
        <w:widowControl/>
        <w:jc w:val="center"/>
      </w:pPr>
      <w:r>
        <w:rPr>
          <w:rFonts w:hint="eastAsia" w:ascii="宋体" w:hAnsi="宋体" w:eastAsia="宋体" w:cs="宋体"/>
          <w:sz w:val="21"/>
          <w:szCs w:val="21"/>
        </w:rPr>
        <w:t>编制说明</w:t>
      </w:r>
    </w:p>
    <w:p>
      <w:pPr>
        <w:pStyle w:val="7"/>
        <w:widowControl/>
        <w:ind w:firstLine="420"/>
      </w:pPr>
      <w:r>
        <w:rPr>
          <w:rFonts w:hint="eastAsia" w:ascii="宋体" w:hAnsi="宋体" w:eastAsia="宋体" w:cs="宋体"/>
          <w:sz w:val="21"/>
          <w:szCs w:val="21"/>
        </w:rPr>
        <w:t>除招标文件另有规定外，招标文件要求提交的除前述资格证明文件外的其他资格证明文件（若有）加盖投标人的单位公章后应在此项下提交。</w:t>
      </w:r>
    </w:p>
    <w:p>
      <w:pPr>
        <w:pStyle w:val="7"/>
        <w:widowControl/>
        <w:jc w:val="center"/>
      </w:pPr>
      <w:r>
        <w:rPr>
          <w:rFonts w:ascii="Calibri" w:hAnsi="Calibri" w:cs="Calibri"/>
          <w:sz w:val="21"/>
          <w:szCs w:val="21"/>
        </w:rPr>
        <w:br w:type="textWrapping"/>
      </w:r>
      <w:r>
        <w:rPr>
          <w:rFonts w:hint="eastAsia" w:ascii="宋体" w:hAnsi="宋体" w:eastAsia="宋体" w:cs="宋体"/>
          <w:sz w:val="21"/>
          <w:szCs w:val="21"/>
        </w:rPr>
        <w:t>三</w:t>
      </w:r>
      <w:r>
        <w:rPr>
          <w:rStyle w:val="10"/>
          <w:rFonts w:hint="eastAsia" w:ascii="宋体" w:hAnsi="宋体" w:eastAsia="宋体" w:cs="宋体"/>
          <w:sz w:val="21"/>
          <w:szCs w:val="21"/>
        </w:rPr>
        <w:t>、投标保证金</w:t>
      </w:r>
    </w:p>
    <w:p>
      <w:pPr>
        <w:pStyle w:val="7"/>
        <w:widowControl/>
        <w:jc w:val="center"/>
      </w:pPr>
      <w:r>
        <w:rPr>
          <w:rFonts w:hint="eastAsia" w:ascii="宋体" w:hAnsi="宋体" w:eastAsia="宋体" w:cs="宋体"/>
          <w:sz w:val="21"/>
          <w:szCs w:val="21"/>
        </w:rPr>
        <w:t>编制说明</w:t>
      </w:r>
    </w:p>
    <w:p>
      <w:pPr>
        <w:pStyle w:val="7"/>
        <w:widowControl/>
      </w:pPr>
      <w:r>
        <w:rPr>
          <w:rFonts w:hint="eastAsia" w:ascii="宋体" w:hAnsi="宋体" w:eastAsia="宋体" w:cs="宋体"/>
          <w:sz w:val="21"/>
          <w:szCs w:val="21"/>
        </w:rPr>
        <w:t>1、在此项下提交的</w:t>
      </w:r>
      <w:r>
        <w:rPr>
          <w:rStyle w:val="10"/>
          <w:rFonts w:hint="eastAsia" w:ascii="宋体" w:hAnsi="宋体" w:eastAsia="宋体" w:cs="宋体"/>
          <w:sz w:val="21"/>
          <w:szCs w:val="21"/>
        </w:rPr>
        <w:t>“投标保证金”</w:t>
      </w:r>
      <w:r>
        <w:rPr>
          <w:rFonts w:hint="eastAsia" w:ascii="宋体" w:hAnsi="宋体" w:eastAsia="宋体" w:cs="宋体"/>
          <w:sz w:val="21"/>
          <w:szCs w:val="21"/>
        </w:rPr>
        <w:t>材料可使用转账凭证复印件或从福建省政府采购网上公开信息系统中下载的有关原始页面的打印件。</w:t>
      </w:r>
    </w:p>
    <w:p>
      <w:pPr>
        <w:pStyle w:val="7"/>
        <w:widowControl/>
      </w:pPr>
      <w:r>
        <w:rPr>
          <w:rFonts w:hint="eastAsia" w:ascii="宋体" w:hAnsi="宋体" w:eastAsia="宋体" w:cs="宋体"/>
          <w:sz w:val="21"/>
          <w:szCs w:val="21"/>
        </w:rPr>
        <w:t>2、投标保证金是否已提交的认定按照招标文件第三章规定执行。</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 </w:t>
      </w:r>
    </w:p>
    <w:p>
      <w:pPr>
        <w:pStyle w:val="7"/>
        <w:widowControl/>
        <w:jc w:val="center"/>
      </w:pPr>
      <w:r>
        <w:rPr>
          <w:rStyle w:val="10"/>
          <w:rFonts w:hint="eastAsia" w:ascii="宋体" w:hAnsi="宋体" w:eastAsia="宋体" w:cs="宋体"/>
          <w:sz w:val="28"/>
          <w:szCs w:val="28"/>
        </w:rPr>
        <w:t>封面格式</w:t>
      </w:r>
    </w:p>
    <w:p>
      <w:pPr>
        <w:pStyle w:val="7"/>
        <w:widowControl/>
      </w:pPr>
      <w:r>
        <w:rPr>
          <w:rFonts w:hint="eastAsia" w:ascii="宋体" w:hAnsi="宋体" w:eastAsia="宋体" w:cs="宋体"/>
          <w:sz w:val="36"/>
          <w:szCs w:val="36"/>
        </w:rPr>
        <w:t> </w:t>
      </w:r>
    </w:p>
    <w:p>
      <w:pPr>
        <w:pStyle w:val="7"/>
        <w:widowControl/>
        <w:jc w:val="center"/>
      </w:pPr>
      <w:r>
        <w:rPr>
          <w:rStyle w:val="10"/>
          <w:rFonts w:hint="eastAsia" w:ascii="宋体" w:hAnsi="宋体" w:eastAsia="宋体" w:cs="宋体"/>
          <w:sz w:val="48"/>
          <w:szCs w:val="48"/>
        </w:rPr>
        <w:t>福建省政府采购投标文件</w:t>
      </w:r>
    </w:p>
    <w:p>
      <w:pPr>
        <w:pStyle w:val="7"/>
        <w:widowControl/>
        <w:jc w:val="center"/>
      </w:pPr>
      <w:r>
        <w:rPr>
          <w:rStyle w:val="10"/>
          <w:rFonts w:hint="eastAsia" w:ascii="宋体" w:hAnsi="宋体" w:eastAsia="宋体" w:cs="宋体"/>
          <w:sz w:val="48"/>
          <w:szCs w:val="48"/>
        </w:rPr>
        <w:t>（报价部分）</w:t>
      </w:r>
    </w:p>
    <w:p>
      <w:pPr>
        <w:pStyle w:val="7"/>
        <w:widowControl/>
      </w:pPr>
      <w:r>
        <w:rPr>
          <w:rFonts w:hint="eastAsia" w:ascii="宋体" w:hAnsi="宋体" w:eastAsia="宋体" w:cs="宋体"/>
          <w:sz w:val="36"/>
          <w:szCs w:val="36"/>
        </w:rPr>
        <w:t> </w:t>
      </w:r>
    </w:p>
    <w:p>
      <w:pPr>
        <w:pStyle w:val="7"/>
        <w:widowControl/>
        <w:jc w:val="center"/>
      </w:pPr>
      <w:r>
        <w:rPr>
          <w:rStyle w:val="10"/>
          <w:rFonts w:hint="eastAsia" w:ascii="宋体" w:hAnsi="宋体" w:eastAsia="宋体" w:cs="宋体"/>
          <w:sz w:val="36"/>
          <w:szCs w:val="36"/>
          <w:u w:val="single"/>
        </w:rPr>
        <w:t>（填写正本或副本）</w:t>
      </w:r>
    </w:p>
    <w:p>
      <w:pPr>
        <w:pStyle w:val="7"/>
        <w:widowControl/>
      </w:pPr>
      <w:r>
        <w:rPr>
          <w:rFonts w:hint="eastAsia" w:ascii="宋体" w:hAnsi="宋体" w:eastAsia="宋体" w:cs="宋体"/>
          <w:sz w:val="36"/>
          <w:szCs w:val="36"/>
        </w:rPr>
        <w:t> </w:t>
      </w:r>
    </w:p>
    <w:p>
      <w:pPr>
        <w:pStyle w:val="7"/>
        <w:widowControl/>
        <w:ind w:firstLine="1920"/>
      </w:pPr>
      <w:r>
        <w:rPr>
          <w:rStyle w:val="10"/>
          <w:rFonts w:hint="eastAsia" w:ascii="宋体" w:hAnsi="宋体" w:eastAsia="宋体" w:cs="宋体"/>
          <w:sz w:val="31"/>
          <w:szCs w:val="31"/>
        </w:rPr>
        <w:t>项目名称：</w:t>
      </w:r>
      <w:r>
        <w:rPr>
          <w:rStyle w:val="10"/>
          <w:rFonts w:hint="eastAsia" w:ascii="宋体" w:hAnsi="宋体" w:eastAsia="宋体" w:cs="宋体"/>
          <w:sz w:val="31"/>
          <w:szCs w:val="31"/>
          <w:u w:val="single"/>
        </w:rPr>
        <w:t>（由投标人填写）</w:t>
      </w:r>
    </w:p>
    <w:p>
      <w:pPr>
        <w:pStyle w:val="7"/>
        <w:widowControl/>
        <w:ind w:firstLine="1920"/>
      </w:pPr>
      <w:r>
        <w:rPr>
          <w:rStyle w:val="10"/>
          <w:rFonts w:hint="eastAsia" w:ascii="宋体" w:hAnsi="宋体" w:eastAsia="宋体" w:cs="宋体"/>
          <w:sz w:val="31"/>
          <w:szCs w:val="31"/>
        </w:rPr>
        <w:t>备案编号：</w:t>
      </w:r>
      <w:r>
        <w:rPr>
          <w:rStyle w:val="10"/>
          <w:rFonts w:hint="eastAsia" w:ascii="宋体" w:hAnsi="宋体" w:eastAsia="宋体" w:cs="宋体"/>
          <w:sz w:val="31"/>
          <w:szCs w:val="31"/>
          <w:u w:val="single"/>
        </w:rPr>
        <w:t>（由投标人填写）</w:t>
      </w:r>
    </w:p>
    <w:p>
      <w:pPr>
        <w:pStyle w:val="7"/>
        <w:widowControl/>
        <w:ind w:firstLine="1920"/>
      </w:pPr>
      <w:r>
        <w:rPr>
          <w:rStyle w:val="10"/>
          <w:rFonts w:hint="eastAsia" w:ascii="宋体" w:hAnsi="宋体" w:eastAsia="宋体" w:cs="宋体"/>
          <w:sz w:val="31"/>
          <w:szCs w:val="31"/>
        </w:rPr>
        <w:t>项目编号：</w:t>
      </w:r>
      <w:r>
        <w:rPr>
          <w:rStyle w:val="10"/>
          <w:rFonts w:hint="eastAsia" w:ascii="宋体" w:hAnsi="宋体" w:eastAsia="宋体" w:cs="宋体"/>
          <w:sz w:val="31"/>
          <w:szCs w:val="31"/>
          <w:u w:val="single"/>
        </w:rPr>
        <w:t>（由投标人填写）</w:t>
      </w:r>
    </w:p>
    <w:p>
      <w:pPr>
        <w:pStyle w:val="7"/>
        <w:widowControl/>
        <w:ind w:firstLine="1920"/>
      </w:pPr>
      <w:r>
        <w:rPr>
          <w:rStyle w:val="10"/>
          <w:rFonts w:hint="eastAsia" w:ascii="宋体" w:hAnsi="宋体" w:eastAsia="宋体" w:cs="宋体"/>
          <w:sz w:val="31"/>
          <w:szCs w:val="31"/>
        </w:rPr>
        <w:t>所投采购包：</w:t>
      </w:r>
      <w:r>
        <w:rPr>
          <w:rStyle w:val="10"/>
          <w:rFonts w:hint="eastAsia" w:ascii="宋体" w:hAnsi="宋体" w:eastAsia="宋体" w:cs="宋体"/>
          <w:sz w:val="31"/>
          <w:szCs w:val="31"/>
          <w:u w:val="single"/>
        </w:rPr>
        <w:t>（由投标人填写）</w:t>
      </w:r>
    </w:p>
    <w:p>
      <w:pPr>
        <w:pStyle w:val="7"/>
        <w:widowControl/>
      </w:pPr>
      <w:r>
        <w:rPr>
          <w:rFonts w:hint="eastAsia" w:ascii="宋体" w:hAnsi="宋体" w:eastAsia="宋体" w:cs="宋体"/>
          <w:sz w:val="36"/>
          <w:szCs w:val="36"/>
        </w:rPr>
        <w:t> </w:t>
      </w:r>
    </w:p>
    <w:p>
      <w:pPr>
        <w:pStyle w:val="7"/>
        <w:widowControl/>
        <w:jc w:val="center"/>
      </w:pPr>
      <w:r>
        <w:rPr>
          <w:rStyle w:val="10"/>
          <w:rFonts w:hint="eastAsia" w:ascii="宋体" w:hAnsi="宋体" w:eastAsia="宋体" w:cs="宋体"/>
          <w:sz w:val="31"/>
          <w:szCs w:val="31"/>
        </w:rPr>
        <w:t>投标人：</w:t>
      </w:r>
      <w:r>
        <w:rPr>
          <w:rStyle w:val="10"/>
          <w:rFonts w:hint="eastAsia" w:ascii="宋体" w:hAnsi="宋体" w:eastAsia="宋体" w:cs="宋体"/>
          <w:sz w:val="31"/>
          <w:szCs w:val="31"/>
          <w:u w:val="single"/>
        </w:rPr>
        <w:t>（填写“全称”）</w:t>
      </w:r>
    </w:p>
    <w:p>
      <w:pPr>
        <w:pStyle w:val="7"/>
        <w:widowControl/>
        <w:jc w:val="center"/>
      </w:pPr>
      <w:r>
        <w:rPr>
          <w:rStyle w:val="10"/>
          <w:rFonts w:hint="eastAsia" w:ascii="宋体" w:hAnsi="宋体" w:eastAsia="宋体" w:cs="宋体"/>
          <w:sz w:val="31"/>
          <w:szCs w:val="31"/>
          <w:u w:val="single"/>
        </w:rPr>
        <w:t>（由投标人填写）</w:t>
      </w:r>
      <w:r>
        <w:rPr>
          <w:rStyle w:val="10"/>
          <w:rFonts w:hint="eastAsia" w:ascii="宋体" w:hAnsi="宋体" w:eastAsia="宋体" w:cs="宋体"/>
          <w:sz w:val="31"/>
          <w:szCs w:val="31"/>
        </w:rPr>
        <w:t>年</w:t>
      </w:r>
      <w:r>
        <w:rPr>
          <w:rStyle w:val="10"/>
          <w:rFonts w:hint="eastAsia" w:ascii="宋体" w:hAnsi="宋体" w:eastAsia="宋体" w:cs="宋体"/>
          <w:sz w:val="31"/>
          <w:szCs w:val="31"/>
          <w:u w:val="single"/>
        </w:rPr>
        <w:t>（由投标人填写）</w:t>
      </w:r>
      <w:r>
        <w:rPr>
          <w:rStyle w:val="10"/>
          <w:rFonts w:hint="eastAsia" w:ascii="宋体" w:hAnsi="宋体" w:eastAsia="宋体" w:cs="宋体"/>
          <w:sz w:val="31"/>
          <w:szCs w:val="31"/>
        </w:rPr>
        <w:t>月</w:t>
      </w:r>
    </w:p>
    <w:p>
      <w:pPr>
        <w:pStyle w:val="7"/>
        <w:widowControl/>
      </w:pPr>
      <w:r>
        <w:rPr>
          <w:rFonts w:hint="eastAsia" w:ascii="宋体" w:hAnsi="宋体" w:eastAsia="宋体" w:cs="宋体"/>
          <w:sz w:val="21"/>
          <w:szCs w:val="21"/>
        </w:rPr>
        <w:t> </w:t>
      </w:r>
    </w:p>
    <w:p>
      <w:pPr>
        <w:pStyle w:val="7"/>
        <w:widowControl/>
        <w:jc w:val="center"/>
      </w:pPr>
      <w:r>
        <w:rPr>
          <w:rStyle w:val="10"/>
          <w:rFonts w:hint="eastAsia" w:ascii="宋体" w:hAnsi="宋体" w:eastAsia="宋体" w:cs="宋体"/>
          <w:sz w:val="28"/>
          <w:szCs w:val="28"/>
        </w:rPr>
        <w:t>索引</w:t>
      </w:r>
    </w:p>
    <w:p>
      <w:pPr>
        <w:pStyle w:val="7"/>
        <w:widowControl/>
      </w:pPr>
      <w:r>
        <w:rPr>
          <w:rFonts w:hint="eastAsia" w:ascii="宋体" w:hAnsi="宋体" w:eastAsia="宋体" w:cs="宋体"/>
          <w:sz w:val="28"/>
          <w:szCs w:val="28"/>
        </w:rPr>
        <w:t>一、开标一览表</w:t>
      </w:r>
    </w:p>
    <w:p>
      <w:pPr>
        <w:pStyle w:val="7"/>
        <w:widowControl/>
      </w:pPr>
      <w:r>
        <w:rPr>
          <w:rFonts w:hint="eastAsia" w:ascii="宋体" w:hAnsi="宋体" w:eastAsia="宋体" w:cs="宋体"/>
          <w:sz w:val="28"/>
          <w:szCs w:val="28"/>
        </w:rPr>
        <w:t>二、投标分项报价表</w:t>
      </w:r>
    </w:p>
    <w:p>
      <w:pPr>
        <w:pStyle w:val="7"/>
        <w:widowControl/>
      </w:pPr>
      <w:r>
        <w:rPr>
          <w:rFonts w:hint="eastAsia" w:ascii="宋体" w:hAnsi="宋体" w:eastAsia="宋体" w:cs="宋体"/>
          <w:sz w:val="28"/>
          <w:szCs w:val="28"/>
        </w:rPr>
        <w:t>三、招标文件规定的价格扣除证明材料（若有）</w:t>
      </w:r>
    </w:p>
    <w:p>
      <w:pPr>
        <w:pStyle w:val="7"/>
        <w:widowControl/>
      </w:pPr>
      <w:r>
        <w:rPr>
          <w:rFonts w:hint="eastAsia" w:ascii="宋体" w:hAnsi="宋体" w:eastAsia="宋体" w:cs="宋体"/>
          <w:sz w:val="28"/>
          <w:szCs w:val="28"/>
        </w:rPr>
        <w:t>四、招标文件规定的加分证明材料（若有）</w:t>
      </w:r>
    </w:p>
    <w:p>
      <w:pPr>
        <w:pStyle w:val="7"/>
        <w:widowControl/>
        <w:rPr>
          <w:rFonts w:ascii="宋体" w:hAnsi="宋体" w:eastAsia="宋体" w:cs="宋体"/>
          <w:sz w:val="21"/>
          <w:szCs w:val="21"/>
        </w:rPr>
      </w:pPr>
      <w:r>
        <w:rPr>
          <w:rFonts w:hint="eastAsia" w:ascii="宋体" w:hAnsi="宋体" w:eastAsia="宋体" w:cs="宋体"/>
          <w:sz w:val="21"/>
          <w:szCs w:val="21"/>
        </w:rPr>
        <w:t> </w:t>
      </w:r>
    </w:p>
    <w:p>
      <w:pPr>
        <w:pStyle w:val="7"/>
        <w:widowControl/>
        <w:rPr>
          <w:rFonts w:ascii="宋体" w:hAnsi="宋体" w:eastAsia="宋体" w:cs="宋体"/>
          <w:sz w:val="21"/>
          <w:szCs w:val="21"/>
        </w:rPr>
      </w:pPr>
    </w:p>
    <w:p>
      <w:pPr>
        <w:pStyle w:val="7"/>
        <w:widowControl/>
        <w:rPr>
          <w:rFonts w:ascii="宋体" w:hAnsi="宋体" w:eastAsia="宋体" w:cs="宋体"/>
          <w:sz w:val="21"/>
          <w:szCs w:val="21"/>
        </w:rPr>
      </w:pPr>
    </w:p>
    <w:p>
      <w:pPr>
        <w:pStyle w:val="7"/>
        <w:widowControl/>
        <w:rPr>
          <w:rFonts w:ascii="宋体" w:hAnsi="宋体" w:eastAsia="宋体" w:cs="宋体"/>
          <w:sz w:val="21"/>
          <w:szCs w:val="21"/>
        </w:rPr>
      </w:pPr>
    </w:p>
    <w:p>
      <w:pPr>
        <w:pStyle w:val="7"/>
        <w:widowControl/>
        <w:rPr>
          <w:rFonts w:ascii="宋体" w:hAnsi="宋体" w:eastAsia="宋体" w:cs="宋体"/>
          <w:sz w:val="21"/>
          <w:szCs w:val="21"/>
        </w:rPr>
      </w:pPr>
    </w:p>
    <w:p>
      <w:pPr>
        <w:pStyle w:val="7"/>
        <w:widowControl/>
        <w:rPr>
          <w:rFonts w:ascii="宋体" w:hAnsi="宋体" w:eastAsia="宋体" w:cs="宋体"/>
          <w:sz w:val="21"/>
          <w:szCs w:val="21"/>
        </w:rPr>
      </w:pPr>
    </w:p>
    <w:p>
      <w:pPr>
        <w:pStyle w:val="7"/>
        <w:widowControl/>
        <w:rPr>
          <w:rFonts w:ascii="宋体" w:hAnsi="宋体" w:eastAsia="宋体" w:cs="宋体"/>
          <w:sz w:val="21"/>
          <w:szCs w:val="21"/>
        </w:rPr>
      </w:pPr>
    </w:p>
    <w:p>
      <w:pPr>
        <w:pStyle w:val="7"/>
        <w:widowControl/>
        <w:rPr>
          <w:rFonts w:ascii="宋体" w:hAnsi="宋体" w:eastAsia="宋体" w:cs="宋体"/>
          <w:sz w:val="21"/>
          <w:szCs w:val="21"/>
        </w:rPr>
      </w:pPr>
    </w:p>
    <w:p>
      <w:pPr>
        <w:pStyle w:val="7"/>
        <w:widowControl/>
        <w:rPr>
          <w:rFonts w:ascii="宋体" w:hAnsi="宋体" w:eastAsia="宋体" w:cs="宋体"/>
          <w:sz w:val="21"/>
          <w:szCs w:val="21"/>
        </w:rPr>
      </w:pPr>
    </w:p>
    <w:p>
      <w:pPr>
        <w:pStyle w:val="7"/>
        <w:widowControl/>
        <w:rPr>
          <w:rFonts w:ascii="宋体" w:hAnsi="宋体" w:eastAsia="宋体" w:cs="宋体"/>
          <w:sz w:val="21"/>
          <w:szCs w:val="21"/>
        </w:rPr>
      </w:pPr>
    </w:p>
    <w:p>
      <w:pPr>
        <w:pStyle w:val="7"/>
        <w:widowControl/>
        <w:rPr>
          <w:rFonts w:ascii="宋体" w:hAnsi="宋体" w:eastAsia="宋体" w:cs="宋体"/>
          <w:sz w:val="21"/>
          <w:szCs w:val="21"/>
        </w:rPr>
      </w:pPr>
    </w:p>
    <w:p>
      <w:pPr>
        <w:pStyle w:val="7"/>
        <w:widowControl/>
        <w:rPr>
          <w:rFonts w:ascii="宋体" w:hAnsi="宋体" w:eastAsia="宋体" w:cs="宋体"/>
          <w:sz w:val="21"/>
          <w:szCs w:val="21"/>
        </w:rPr>
      </w:pPr>
    </w:p>
    <w:p>
      <w:pPr>
        <w:pStyle w:val="7"/>
        <w:widowControl/>
        <w:rPr>
          <w:rFonts w:ascii="宋体" w:hAnsi="宋体" w:eastAsia="宋体" w:cs="宋体"/>
          <w:sz w:val="21"/>
          <w:szCs w:val="21"/>
        </w:rPr>
      </w:pPr>
    </w:p>
    <w:p>
      <w:pPr>
        <w:pStyle w:val="7"/>
        <w:widowControl/>
        <w:rPr>
          <w:rFonts w:ascii="宋体" w:hAnsi="宋体" w:eastAsia="宋体" w:cs="宋体"/>
          <w:sz w:val="21"/>
          <w:szCs w:val="21"/>
        </w:rPr>
      </w:pPr>
    </w:p>
    <w:p>
      <w:pPr>
        <w:pStyle w:val="7"/>
        <w:widowControl/>
      </w:pPr>
      <w:r>
        <w:rPr>
          <w:rFonts w:hint="eastAsia" w:ascii="宋体" w:hAnsi="宋体" w:eastAsia="宋体" w:cs="宋体"/>
          <w:sz w:val="21"/>
          <w:szCs w:val="21"/>
        </w:rPr>
        <w:t> </w:t>
      </w:r>
    </w:p>
    <w:p>
      <w:pPr>
        <w:pStyle w:val="7"/>
        <w:widowControl/>
        <w:jc w:val="center"/>
      </w:pPr>
      <w:r>
        <w:rPr>
          <w:rFonts w:ascii="Calibri" w:hAnsi="Calibri" w:cs="Calibri"/>
          <w:sz w:val="21"/>
          <w:szCs w:val="21"/>
        </w:rPr>
        <w:br w:type="textWrapping"/>
      </w:r>
      <w:r>
        <w:rPr>
          <w:rStyle w:val="10"/>
          <w:rFonts w:hint="eastAsia" w:ascii="宋体" w:hAnsi="宋体" w:eastAsia="宋体" w:cs="宋体"/>
          <w:sz w:val="21"/>
          <w:szCs w:val="21"/>
        </w:rPr>
        <w:t>一、开标一览表</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7"/>
        <w:widowControl/>
        <w:jc w:val="right"/>
      </w:pPr>
      <w:r>
        <w:rPr>
          <w:rFonts w:hint="eastAsia" w:ascii="宋体" w:hAnsi="宋体" w:eastAsia="宋体" w:cs="宋体"/>
          <w:sz w:val="21"/>
          <w:szCs w:val="21"/>
        </w:rPr>
        <w:t>货币及单位：人民币元</w:t>
      </w:r>
    </w:p>
    <w:tbl>
      <w:tblPr>
        <w:tblStyle w:val="8"/>
        <w:tblW w:w="8521"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389"/>
        <w:gridCol w:w="4474"/>
        <w:gridCol w:w="922"/>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344"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采购包</w:t>
            </w:r>
          </w:p>
        </w:tc>
        <w:tc>
          <w:tcPr>
            <w:tcW w:w="4444"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投标报价</w:t>
            </w:r>
          </w:p>
        </w:tc>
        <w:tc>
          <w:tcPr>
            <w:tcW w:w="892"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投标</w:t>
            </w:r>
          </w:p>
          <w:p>
            <w:pPr>
              <w:pStyle w:val="7"/>
              <w:widowControl/>
              <w:jc w:val="center"/>
            </w:pPr>
            <w:r>
              <w:rPr>
                <w:rFonts w:hint="eastAsia" w:ascii="宋体" w:hAnsi="宋体" w:eastAsia="宋体" w:cs="宋体"/>
                <w:sz w:val="21"/>
                <w:szCs w:val="21"/>
              </w:rPr>
              <w:t>保证金</w:t>
            </w:r>
          </w:p>
        </w:tc>
        <w:tc>
          <w:tcPr>
            <w:tcW w:w="1691"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9" w:hRule="atLeast"/>
          <w:tblCellSpacing w:w="15" w:type="dxa"/>
        </w:trPr>
        <w:tc>
          <w:tcPr>
            <w:tcW w:w="1344"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w:t>
            </w:r>
          </w:p>
        </w:tc>
        <w:tc>
          <w:tcPr>
            <w:tcW w:w="4444" w:type="dxa"/>
            <w:shd w:val="clear" w:color="auto" w:fill="auto"/>
            <w:tcMar>
              <w:top w:w="0" w:type="dxa"/>
              <w:left w:w="105" w:type="dxa"/>
              <w:bottom w:w="0" w:type="dxa"/>
              <w:right w:w="105" w:type="dxa"/>
            </w:tcMar>
            <w:vAlign w:val="center"/>
          </w:tcPr>
          <w:p>
            <w:pPr>
              <w:pStyle w:val="7"/>
              <w:widowControl/>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892" w:type="dxa"/>
            <w:shd w:val="clear" w:color="auto" w:fill="auto"/>
            <w:tcMar>
              <w:top w:w="0" w:type="dxa"/>
              <w:left w:w="105" w:type="dxa"/>
              <w:bottom w:w="0" w:type="dxa"/>
              <w:right w:w="105" w:type="dxa"/>
            </w:tcMar>
            <w:vAlign w:val="center"/>
          </w:tcPr>
          <w:p>
            <w:pPr>
              <w:rPr>
                <w:rFonts w:ascii="宋体"/>
                <w:sz w:val="24"/>
              </w:rPr>
            </w:pPr>
          </w:p>
        </w:tc>
        <w:tc>
          <w:tcPr>
            <w:tcW w:w="1691" w:type="dxa"/>
            <w:vMerge w:val="restart"/>
            <w:shd w:val="clear" w:color="auto" w:fill="auto"/>
            <w:tcMar>
              <w:top w:w="0" w:type="dxa"/>
              <w:left w:w="105" w:type="dxa"/>
              <w:bottom w:w="0" w:type="dxa"/>
              <w:right w:w="105" w:type="dxa"/>
            </w:tcMar>
            <w:vAlign w:val="center"/>
          </w:tcPr>
          <w:p>
            <w:pPr>
              <w:pStyle w:val="7"/>
              <w:widowControl/>
            </w:pPr>
            <w:r>
              <w:rPr>
                <w:rFonts w:hint="eastAsia" w:ascii="宋体" w:hAnsi="宋体" w:eastAsia="宋体" w:cs="宋体"/>
                <w:sz w:val="21"/>
                <w:szCs w:val="21"/>
              </w:rPr>
              <w:t>a.投标报价的明细：详见《投标分项报价表》。</w:t>
            </w:r>
          </w:p>
          <w:p>
            <w:pPr>
              <w:pStyle w:val="7"/>
              <w:widowControl/>
            </w:pPr>
            <w:r>
              <w:rPr>
                <w:rFonts w:hint="eastAsia" w:ascii="宋体" w:hAnsi="宋体" w:eastAsia="宋体" w:cs="宋体"/>
                <w:sz w:val="21"/>
                <w:szCs w:val="21"/>
              </w:rPr>
              <w:t>b.招标文件规定的价格扣除证明材料（若有）：详见报价部分。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344" w:type="dxa"/>
            <w:shd w:val="clear" w:color="auto" w:fill="auto"/>
            <w:tcMar>
              <w:top w:w="0" w:type="dxa"/>
              <w:left w:w="105" w:type="dxa"/>
              <w:bottom w:w="0" w:type="dxa"/>
              <w:right w:w="105" w:type="dxa"/>
            </w:tcMar>
            <w:vAlign w:val="center"/>
          </w:tcPr>
          <w:p>
            <w:pPr>
              <w:pStyle w:val="7"/>
              <w:widowControl/>
              <w:jc w:val="center"/>
            </w:pPr>
            <w:r>
              <w:rPr>
                <w:rFonts w:ascii="Calibri" w:hAnsi="Calibri" w:cs="Calibri"/>
                <w:sz w:val="21"/>
                <w:szCs w:val="21"/>
              </w:rPr>
              <w:t>…</w:t>
            </w:r>
          </w:p>
        </w:tc>
        <w:tc>
          <w:tcPr>
            <w:tcW w:w="4444" w:type="dxa"/>
            <w:shd w:val="clear" w:color="auto" w:fill="auto"/>
            <w:tcMar>
              <w:top w:w="0" w:type="dxa"/>
              <w:left w:w="105" w:type="dxa"/>
              <w:bottom w:w="0" w:type="dxa"/>
              <w:right w:w="105" w:type="dxa"/>
            </w:tcMar>
            <w:vAlign w:val="center"/>
          </w:tcPr>
          <w:p>
            <w:pPr>
              <w:pStyle w:val="7"/>
              <w:widowControl/>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892" w:type="dxa"/>
            <w:shd w:val="clear" w:color="auto" w:fill="auto"/>
            <w:tcMar>
              <w:top w:w="0" w:type="dxa"/>
              <w:left w:w="105" w:type="dxa"/>
              <w:bottom w:w="0" w:type="dxa"/>
              <w:right w:w="105" w:type="dxa"/>
            </w:tcMar>
            <w:vAlign w:val="center"/>
          </w:tcPr>
          <w:p>
            <w:pPr>
              <w:rPr>
                <w:rFonts w:ascii="宋体"/>
                <w:sz w:val="24"/>
              </w:rPr>
            </w:pPr>
          </w:p>
        </w:tc>
        <w:tc>
          <w:tcPr>
            <w:tcW w:w="1691" w:type="dxa"/>
            <w:vMerge w:val="continue"/>
            <w:shd w:val="clear" w:color="auto" w:fill="auto"/>
            <w:tcMar>
              <w:top w:w="0" w:type="dxa"/>
              <w:left w:w="105" w:type="dxa"/>
              <w:bottom w:w="0" w:type="dxa"/>
              <w:right w:w="105" w:type="dxa"/>
            </w:tcMar>
            <w:vAlign w:val="center"/>
          </w:tcPr>
          <w:p>
            <w:pPr>
              <w:rPr>
                <w:rFonts w:ascii="宋体"/>
                <w:sz w:val="24"/>
              </w:rPr>
            </w:pPr>
          </w:p>
        </w:tc>
      </w:tr>
    </w:tbl>
    <w:p>
      <w:pPr>
        <w:pStyle w:val="7"/>
        <w:widowControl/>
      </w:pPr>
      <w:r>
        <w:rPr>
          <w:rFonts w:hint="eastAsia" w:ascii="宋体" w:hAnsi="宋体" w:eastAsia="宋体" w:cs="宋体"/>
          <w:sz w:val="21"/>
          <w:szCs w:val="21"/>
        </w:rPr>
        <w:t>※注意：</w:t>
      </w:r>
    </w:p>
    <w:p>
      <w:pPr>
        <w:pStyle w:val="7"/>
        <w:widowControl/>
      </w:pPr>
      <w:r>
        <w:rPr>
          <w:rFonts w:hint="eastAsia" w:ascii="宋体" w:hAnsi="宋体" w:eastAsia="宋体" w:cs="宋体"/>
          <w:sz w:val="21"/>
          <w:szCs w:val="21"/>
        </w:rPr>
        <w:t>1、本表应按照下列规定填写：</w:t>
      </w:r>
    </w:p>
    <w:p>
      <w:pPr>
        <w:pStyle w:val="7"/>
        <w:widowControl/>
      </w:pPr>
      <w:r>
        <w:rPr>
          <w:rFonts w:hint="eastAsia" w:ascii="宋体" w:hAnsi="宋体" w:eastAsia="宋体" w:cs="宋体"/>
          <w:sz w:val="21"/>
          <w:szCs w:val="21"/>
        </w:rPr>
        <w:t>1.1投标人应按照本表格式填写所投的采购包的“投标报价”。</w:t>
      </w:r>
    </w:p>
    <w:p>
      <w:pPr>
        <w:pStyle w:val="7"/>
        <w:widowControl/>
      </w:pPr>
      <w:r>
        <w:rPr>
          <w:rFonts w:hint="eastAsia" w:ascii="宋体" w:hAnsi="宋体" w:eastAsia="宋体" w:cs="宋体"/>
          <w:sz w:val="21"/>
          <w:szCs w:val="21"/>
        </w:rPr>
        <w:t>1.2本表中列示的“采购包”应与《投标分项报价表》中列示的“采购包”保持一致，即：若本表中列示的“采购包”为“</w:t>
      </w:r>
      <w:r>
        <w:rPr>
          <w:rFonts w:ascii="Calibri" w:hAnsi="Calibri" w:eastAsia="宋体" w:cs="Calibri"/>
          <w:sz w:val="21"/>
          <w:szCs w:val="21"/>
        </w:rPr>
        <w:t>1</w:t>
      </w:r>
      <w:r>
        <w:rPr>
          <w:rFonts w:hint="eastAsia" w:ascii="宋体" w:hAnsi="宋体" w:eastAsia="宋体" w:cs="宋体"/>
          <w:sz w:val="21"/>
          <w:szCs w:val="21"/>
        </w:rPr>
        <w:t>”时，《投标分项报价表》中列示的“采购包”亦应为“</w:t>
      </w:r>
      <w:r>
        <w:rPr>
          <w:rFonts w:ascii="Calibri" w:hAnsi="Calibri" w:eastAsia="宋体" w:cs="Calibri"/>
          <w:sz w:val="21"/>
          <w:szCs w:val="21"/>
        </w:rPr>
        <w:t>1</w:t>
      </w:r>
      <w:r>
        <w:rPr>
          <w:rFonts w:hint="eastAsia" w:ascii="宋体" w:hAnsi="宋体" w:eastAsia="宋体" w:cs="宋体"/>
          <w:sz w:val="21"/>
          <w:szCs w:val="21"/>
        </w:rPr>
        <w:t>”，以此类推。</w:t>
      </w:r>
    </w:p>
    <w:p>
      <w:pPr>
        <w:pStyle w:val="7"/>
        <w:widowControl/>
      </w:pPr>
      <w:r>
        <w:rPr>
          <w:rFonts w:hint="eastAsia" w:ascii="宋体" w:hAnsi="宋体" w:eastAsia="宋体" w:cs="宋体"/>
          <w:sz w:val="21"/>
          <w:szCs w:val="21"/>
        </w:rPr>
        <w:t>1.3“大写金额”指“投标报价”应用“壹、贰、叁、肆、伍、陆、柒、捌、玖、拾、佰、仟、万、亿、元、角、分、零”等进行填写。</w:t>
      </w:r>
    </w:p>
    <w:p>
      <w:pPr>
        <w:pStyle w:val="7"/>
        <w:widowControl/>
      </w:pP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 </w:t>
      </w:r>
    </w:p>
    <w:p>
      <w:pPr>
        <w:pStyle w:val="7"/>
        <w:widowControl/>
        <w:jc w:val="center"/>
      </w:pPr>
      <w:r>
        <w:rPr>
          <w:rStyle w:val="10"/>
          <w:rFonts w:ascii="Calibri" w:hAnsi="Calibri" w:cs="Calibri"/>
          <w:sz w:val="21"/>
          <w:szCs w:val="21"/>
        </w:rPr>
        <w:br w:type="textWrapping"/>
      </w:r>
      <w:r>
        <w:rPr>
          <w:rStyle w:val="10"/>
          <w:rFonts w:hint="eastAsia" w:ascii="宋体" w:hAnsi="宋体" w:eastAsia="宋体" w:cs="宋体"/>
          <w:sz w:val="21"/>
          <w:szCs w:val="21"/>
        </w:rPr>
        <w:t>二、投标分项报价表</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7"/>
        <w:widowControl/>
        <w:jc w:val="right"/>
      </w:pPr>
      <w:r>
        <w:rPr>
          <w:rFonts w:hint="eastAsia" w:ascii="宋体" w:hAnsi="宋体" w:eastAsia="宋体" w:cs="宋体"/>
          <w:sz w:val="21"/>
          <w:szCs w:val="21"/>
        </w:rPr>
        <w:t>货币及单位：人民币元</w:t>
      </w:r>
    </w:p>
    <w:tbl>
      <w:tblPr>
        <w:tblStyle w:val="8"/>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85"/>
        <w:gridCol w:w="956"/>
        <w:gridCol w:w="1498"/>
        <w:gridCol w:w="1236"/>
        <w:gridCol w:w="851"/>
        <w:gridCol w:w="992"/>
        <w:gridCol w:w="589"/>
        <w:gridCol w:w="1088"/>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15" w:type="dxa"/>
        </w:trPr>
        <w:tc>
          <w:tcPr>
            <w:tcW w:w="420"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采购包</w:t>
            </w:r>
          </w:p>
        </w:tc>
        <w:tc>
          <w:tcPr>
            <w:tcW w:w="960"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品目号</w:t>
            </w:r>
          </w:p>
        </w:tc>
        <w:tc>
          <w:tcPr>
            <w:tcW w:w="1560"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投标标的</w:t>
            </w:r>
          </w:p>
        </w:tc>
        <w:tc>
          <w:tcPr>
            <w:tcW w:w="127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规格</w:t>
            </w:r>
          </w:p>
        </w:tc>
        <w:tc>
          <w:tcPr>
            <w:tcW w:w="85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来源地</w:t>
            </w:r>
          </w:p>
        </w:tc>
        <w:tc>
          <w:tcPr>
            <w:tcW w:w="990"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单价</w:t>
            </w:r>
          </w:p>
          <w:p>
            <w:pPr>
              <w:pStyle w:val="7"/>
              <w:widowControl/>
              <w:jc w:val="center"/>
            </w:pPr>
            <w:r>
              <w:rPr>
                <w:rFonts w:hint="eastAsia" w:ascii="宋体" w:hAnsi="宋体" w:eastAsia="宋体" w:cs="宋体"/>
                <w:sz w:val="21"/>
                <w:szCs w:val="21"/>
              </w:rPr>
              <w:t>（现场）</w:t>
            </w:r>
          </w:p>
        </w:tc>
        <w:tc>
          <w:tcPr>
            <w:tcW w:w="570"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数量</w:t>
            </w:r>
          </w:p>
        </w:tc>
        <w:tc>
          <w:tcPr>
            <w:tcW w:w="109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总价</w:t>
            </w:r>
          </w:p>
          <w:p>
            <w:pPr>
              <w:pStyle w:val="7"/>
              <w:widowControl/>
              <w:jc w:val="center"/>
            </w:pPr>
            <w:r>
              <w:rPr>
                <w:rFonts w:hint="eastAsia" w:ascii="宋体" w:hAnsi="宋体" w:eastAsia="宋体" w:cs="宋体"/>
                <w:sz w:val="21"/>
                <w:szCs w:val="21"/>
              </w:rPr>
              <w:t>（现场）</w:t>
            </w:r>
          </w:p>
        </w:tc>
        <w:tc>
          <w:tcPr>
            <w:tcW w:w="810"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15" w:type="dxa"/>
        </w:trPr>
        <w:tc>
          <w:tcPr>
            <w:tcW w:w="420" w:type="dxa"/>
            <w:vMerge w:val="restart"/>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w:t>
            </w:r>
          </w:p>
        </w:tc>
        <w:tc>
          <w:tcPr>
            <w:tcW w:w="960"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*-1</w:t>
            </w:r>
          </w:p>
        </w:tc>
        <w:tc>
          <w:tcPr>
            <w:tcW w:w="1560" w:type="dxa"/>
            <w:shd w:val="clear" w:color="auto" w:fill="auto"/>
            <w:tcMar>
              <w:top w:w="0" w:type="dxa"/>
              <w:left w:w="105" w:type="dxa"/>
              <w:bottom w:w="0" w:type="dxa"/>
              <w:right w:w="105" w:type="dxa"/>
            </w:tcMar>
          </w:tcPr>
          <w:p>
            <w:pPr>
              <w:rPr>
                <w:rFonts w:ascii="宋体"/>
                <w:sz w:val="24"/>
              </w:rPr>
            </w:pPr>
          </w:p>
        </w:tc>
        <w:tc>
          <w:tcPr>
            <w:tcW w:w="1275" w:type="dxa"/>
            <w:shd w:val="clear" w:color="auto" w:fill="auto"/>
            <w:tcMar>
              <w:top w:w="0" w:type="dxa"/>
              <w:left w:w="105" w:type="dxa"/>
              <w:bottom w:w="0" w:type="dxa"/>
              <w:right w:w="105" w:type="dxa"/>
            </w:tcMar>
            <w:vAlign w:val="center"/>
          </w:tcPr>
          <w:p>
            <w:pPr>
              <w:rPr>
                <w:rFonts w:ascii="宋体"/>
                <w:sz w:val="24"/>
              </w:rPr>
            </w:pPr>
          </w:p>
        </w:tc>
        <w:tc>
          <w:tcPr>
            <w:tcW w:w="855" w:type="dxa"/>
            <w:shd w:val="clear" w:color="auto" w:fill="auto"/>
            <w:tcMar>
              <w:top w:w="0" w:type="dxa"/>
              <w:left w:w="105" w:type="dxa"/>
              <w:bottom w:w="0" w:type="dxa"/>
              <w:right w:w="105" w:type="dxa"/>
            </w:tcMar>
          </w:tcPr>
          <w:p>
            <w:pPr>
              <w:rPr>
                <w:rFonts w:ascii="宋体"/>
                <w:sz w:val="24"/>
              </w:rPr>
            </w:pPr>
          </w:p>
        </w:tc>
        <w:tc>
          <w:tcPr>
            <w:tcW w:w="990" w:type="dxa"/>
            <w:shd w:val="clear" w:color="auto" w:fill="auto"/>
            <w:tcMar>
              <w:top w:w="0" w:type="dxa"/>
              <w:left w:w="105" w:type="dxa"/>
              <w:bottom w:w="0" w:type="dxa"/>
              <w:right w:w="105" w:type="dxa"/>
            </w:tcMar>
          </w:tcPr>
          <w:p>
            <w:pPr>
              <w:rPr>
                <w:rFonts w:ascii="宋体"/>
                <w:sz w:val="24"/>
              </w:rPr>
            </w:pPr>
          </w:p>
        </w:tc>
        <w:tc>
          <w:tcPr>
            <w:tcW w:w="570" w:type="dxa"/>
            <w:shd w:val="clear" w:color="auto" w:fill="auto"/>
            <w:tcMar>
              <w:top w:w="0" w:type="dxa"/>
              <w:left w:w="105" w:type="dxa"/>
              <w:bottom w:w="0" w:type="dxa"/>
              <w:right w:w="105" w:type="dxa"/>
            </w:tcMar>
          </w:tcPr>
          <w:p>
            <w:pPr>
              <w:rPr>
                <w:rFonts w:ascii="宋体"/>
                <w:sz w:val="24"/>
              </w:rPr>
            </w:pPr>
          </w:p>
        </w:tc>
        <w:tc>
          <w:tcPr>
            <w:tcW w:w="1095" w:type="dxa"/>
            <w:shd w:val="clear" w:color="auto" w:fill="auto"/>
            <w:tcMar>
              <w:top w:w="0" w:type="dxa"/>
              <w:left w:w="105" w:type="dxa"/>
              <w:bottom w:w="0" w:type="dxa"/>
              <w:right w:w="105" w:type="dxa"/>
            </w:tcMar>
          </w:tcPr>
          <w:p>
            <w:pPr>
              <w:rPr>
                <w:rFonts w:ascii="宋体"/>
                <w:sz w:val="24"/>
              </w:rPr>
            </w:pPr>
          </w:p>
        </w:tc>
        <w:tc>
          <w:tcPr>
            <w:tcW w:w="810" w:type="dxa"/>
            <w:shd w:val="clear" w:color="auto" w:fill="auto"/>
            <w:tcMar>
              <w:top w:w="0" w:type="dxa"/>
              <w:left w:w="105" w:type="dxa"/>
              <w:bottom w:w="0" w:type="dxa"/>
              <w:right w:w="105" w:type="dxa"/>
            </w:tcMa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15" w:type="dxa"/>
        </w:trPr>
        <w:tc>
          <w:tcPr>
            <w:tcW w:w="420" w:type="dxa"/>
            <w:vMerge w:val="continue"/>
            <w:shd w:val="clear" w:color="auto" w:fill="auto"/>
            <w:tcMar>
              <w:top w:w="0" w:type="dxa"/>
              <w:left w:w="105" w:type="dxa"/>
              <w:bottom w:w="0" w:type="dxa"/>
              <w:right w:w="105" w:type="dxa"/>
            </w:tcMar>
            <w:vAlign w:val="center"/>
          </w:tcPr>
          <w:p>
            <w:pPr>
              <w:rPr>
                <w:rFonts w:ascii="宋体"/>
                <w:sz w:val="24"/>
              </w:rPr>
            </w:pPr>
          </w:p>
        </w:tc>
        <w:tc>
          <w:tcPr>
            <w:tcW w:w="960" w:type="dxa"/>
            <w:shd w:val="clear" w:color="auto" w:fill="auto"/>
            <w:tcMar>
              <w:top w:w="0" w:type="dxa"/>
              <w:left w:w="105" w:type="dxa"/>
              <w:bottom w:w="0" w:type="dxa"/>
              <w:right w:w="105" w:type="dxa"/>
            </w:tcMar>
            <w:vAlign w:val="center"/>
          </w:tcPr>
          <w:p>
            <w:pPr>
              <w:rPr>
                <w:rFonts w:ascii="宋体"/>
                <w:sz w:val="24"/>
              </w:rPr>
            </w:pPr>
          </w:p>
        </w:tc>
        <w:tc>
          <w:tcPr>
            <w:tcW w:w="1560" w:type="dxa"/>
            <w:shd w:val="clear" w:color="auto" w:fill="auto"/>
            <w:tcMar>
              <w:top w:w="0" w:type="dxa"/>
              <w:left w:w="105" w:type="dxa"/>
              <w:bottom w:w="0" w:type="dxa"/>
              <w:right w:w="105" w:type="dxa"/>
            </w:tcMar>
          </w:tcPr>
          <w:p>
            <w:pPr>
              <w:rPr>
                <w:rFonts w:ascii="宋体"/>
                <w:sz w:val="24"/>
              </w:rPr>
            </w:pPr>
          </w:p>
        </w:tc>
        <w:tc>
          <w:tcPr>
            <w:tcW w:w="1275" w:type="dxa"/>
            <w:shd w:val="clear" w:color="auto" w:fill="auto"/>
            <w:tcMar>
              <w:top w:w="0" w:type="dxa"/>
              <w:left w:w="105" w:type="dxa"/>
              <w:bottom w:w="0" w:type="dxa"/>
              <w:right w:w="105" w:type="dxa"/>
            </w:tcMar>
            <w:vAlign w:val="center"/>
          </w:tcPr>
          <w:p>
            <w:pPr>
              <w:rPr>
                <w:rFonts w:ascii="宋体"/>
                <w:sz w:val="24"/>
              </w:rPr>
            </w:pPr>
          </w:p>
        </w:tc>
        <w:tc>
          <w:tcPr>
            <w:tcW w:w="855" w:type="dxa"/>
            <w:shd w:val="clear" w:color="auto" w:fill="auto"/>
            <w:tcMar>
              <w:top w:w="0" w:type="dxa"/>
              <w:left w:w="105" w:type="dxa"/>
              <w:bottom w:w="0" w:type="dxa"/>
              <w:right w:w="105" w:type="dxa"/>
            </w:tcMar>
          </w:tcPr>
          <w:p>
            <w:pPr>
              <w:rPr>
                <w:rFonts w:ascii="宋体"/>
                <w:sz w:val="24"/>
              </w:rPr>
            </w:pPr>
          </w:p>
        </w:tc>
        <w:tc>
          <w:tcPr>
            <w:tcW w:w="990" w:type="dxa"/>
            <w:shd w:val="clear" w:color="auto" w:fill="auto"/>
            <w:tcMar>
              <w:top w:w="0" w:type="dxa"/>
              <w:left w:w="105" w:type="dxa"/>
              <w:bottom w:w="0" w:type="dxa"/>
              <w:right w:w="105" w:type="dxa"/>
            </w:tcMar>
          </w:tcPr>
          <w:p>
            <w:pPr>
              <w:rPr>
                <w:rFonts w:ascii="宋体"/>
                <w:sz w:val="24"/>
              </w:rPr>
            </w:pPr>
          </w:p>
        </w:tc>
        <w:tc>
          <w:tcPr>
            <w:tcW w:w="570" w:type="dxa"/>
            <w:shd w:val="clear" w:color="auto" w:fill="auto"/>
            <w:tcMar>
              <w:top w:w="0" w:type="dxa"/>
              <w:left w:w="105" w:type="dxa"/>
              <w:bottom w:w="0" w:type="dxa"/>
              <w:right w:w="105" w:type="dxa"/>
            </w:tcMar>
          </w:tcPr>
          <w:p>
            <w:pPr>
              <w:rPr>
                <w:rFonts w:ascii="宋体"/>
                <w:sz w:val="24"/>
              </w:rPr>
            </w:pPr>
          </w:p>
        </w:tc>
        <w:tc>
          <w:tcPr>
            <w:tcW w:w="1095" w:type="dxa"/>
            <w:shd w:val="clear" w:color="auto" w:fill="auto"/>
            <w:tcMar>
              <w:top w:w="0" w:type="dxa"/>
              <w:left w:w="105" w:type="dxa"/>
              <w:bottom w:w="0" w:type="dxa"/>
              <w:right w:w="105" w:type="dxa"/>
            </w:tcMar>
          </w:tcPr>
          <w:p>
            <w:pPr>
              <w:rPr>
                <w:rFonts w:ascii="宋体"/>
                <w:sz w:val="24"/>
              </w:rPr>
            </w:pPr>
          </w:p>
        </w:tc>
        <w:tc>
          <w:tcPr>
            <w:tcW w:w="810" w:type="dxa"/>
            <w:shd w:val="clear" w:color="auto" w:fill="auto"/>
            <w:tcMar>
              <w:top w:w="0" w:type="dxa"/>
              <w:left w:w="105" w:type="dxa"/>
              <w:bottom w:w="0" w:type="dxa"/>
              <w:right w:w="105" w:type="dxa"/>
            </w:tcMa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20" w:type="dxa"/>
            <w:shd w:val="clear" w:color="auto" w:fill="auto"/>
            <w:tcMar>
              <w:top w:w="0" w:type="dxa"/>
              <w:left w:w="105" w:type="dxa"/>
              <w:bottom w:w="0" w:type="dxa"/>
              <w:right w:w="105" w:type="dxa"/>
            </w:tcMar>
            <w:vAlign w:val="center"/>
          </w:tcPr>
          <w:p>
            <w:pPr>
              <w:pStyle w:val="7"/>
              <w:widowControl/>
              <w:jc w:val="center"/>
            </w:pPr>
            <w:r>
              <w:rPr>
                <w:rFonts w:ascii="Calibri" w:hAnsi="Calibri" w:cs="Calibri"/>
                <w:sz w:val="21"/>
                <w:szCs w:val="21"/>
              </w:rPr>
              <w:t>…</w:t>
            </w:r>
          </w:p>
        </w:tc>
        <w:tc>
          <w:tcPr>
            <w:tcW w:w="960" w:type="dxa"/>
            <w:shd w:val="clear" w:color="auto" w:fill="auto"/>
            <w:tcMar>
              <w:top w:w="0" w:type="dxa"/>
              <w:left w:w="105" w:type="dxa"/>
              <w:bottom w:w="0" w:type="dxa"/>
              <w:right w:w="105" w:type="dxa"/>
            </w:tcMar>
            <w:vAlign w:val="center"/>
          </w:tcPr>
          <w:p>
            <w:pPr>
              <w:rPr>
                <w:rFonts w:ascii="宋体"/>
                <w:sz w:val="24"/>
              </w:rPr>
            </w:pPr>
          </w:p>
        </w:tc>
        <w:tc>
          <w:tcPr>
            <w:tcW w:w="1560" w:type="dxa"/>
            <w:shd w:val="clear" w:color="auto" w:fill="auto"/>
            <w:tcMar>
              <w:top w:w="0" w:type="dxa"/>
              <w:left w:w="105" w:type="dxa"/>
              <w:bottom w:w="0" w:type="dxa"/>
              <w:right w:w="105" w:type="dxa"/>
            </w:tcMar>
          </w:tcPr>
          <w:p>
            <w:pPr>
              <w:rPr>
                <w:rFonts w:ascii="宋体"/>
                <w:sz w:val="24"/>
              </w:rPr>
            </w:pPr>
          </w:p>
        </w:tc>
        <w:tc>
          <w:tcPr>
            <w:tcW w:w="1275" w:type="dxa"/>
            <w:shd w:val="clear" w:color="auto" w:fill="auto"/>
            <w:tcMar>
              <w:top w:w="0" w:type="dxa"/>
              <w:left w:w="105" w:type="dxa"/>
              <w:bottom w:w="0" w:type="dxa"/>
              <w:right w:w="105" w:type="dxa"/>
            </w:tcMar>
            <w:vAlign w:val="center"/>
          </w:tcPr>
          <w:p>
            <w:pPr>
              <w:rPr>
                <w:rFonts w:ascii="宋体"/>
                <w:sz w:val="24"/>
              </w:rPr>
            </w:pPr>
          </w:p>
        </w:tc>
        <w:tc>
          <w:tcPr>
            <w:tcW w:w="855" w:type="dxa"/>
            <w:shd w:val="clear" w:color="auto" w:fill="auto"/>
            <w:tcMar>
              <w:top w:w="0" w:type="dxa"/>
              <w:left w:w="105" w:type="dxa"/>
              <w:bottom w:w="0" w:type="dxa"/>
              <w:right w:w="105" w:type="dxa"/>
            </w:tcMar>
          </w:tcPr>
          <w:p>
            <w:pPr>
              <w:rPr>
                <w:rFonts w:ascii="宋体"/>
                <w:sz w:val="24"/>
              </w:rPr>
            </w:pPr>
          </w:p>
        </w:tc>
        <w:tc>
          <w:tcPr>
            <w:tcW w:w="990" w:type="dxa"/>
            <w:shd w:val="clear" w:color="auto" w:fill="auto"/>
            <w:tcMar>
              <w:top w:w="0" w:type="dxa"/>
              <w:left w:w="105" w:type="dxa"/>
              <w:bottom w:w="0" w:type="dxa"/>
              <w:right w:w="105" w:type="dxa"/>
            </w:tcMar>
          </w:tcPr>
          <w:p>
            <w:pPr>
              <w:rPr>
                <w:rFonts w:ascii="宋体"/>
                <w:sz w:val="24"/>
              </w:rPr>
            </w:pPr>
          </w:p>
        </w:tc>
        <w:tc>
          <w:tcPr>
            <w:tcW w:w="570" w:type="dxa"/>
            <w:shd w:val="clear" w:color="auto" w:fill="auto"/>
            <w:tcMar>
              <w:top w:w="0" w:type="dxa"/>
              <w:left w:w="105" w:type="dxa"/>
              <w:bottom w:w="0" w:type="dxa"/>
              <w:right w:w="105" w:type="dxa"/>
            </w:tcMar>
          </w:tcPr>
          <w:p>
            <w:pPr>
              <w:rPr>
                <w:rFonts w:ascii="宋体"/>
                <w:sz w:val="24"/>
              </w:rPr>
            </w:pPr>
          </w:p>
        </w:tc>
        <w:tc>
          <w:tcPr>
            <w:tcW w:w="1095" w:type="dxa"/>
            <w:shd w:val="clear" w:color="auto" w:fill="auto"/>
            <w:tcMar>
              <w:top w:w="0" w:type="dxa"/>
              <w:left w:w="105" w:type="dxa"/>
              <w:bottom w:w="0" w:type="dxa"/>
              <w:right w:w="105" w:type="dxa"/>
            </w:tcMar>
          </w:tcPr>
          <w:p>
            <w:pPr>
              <w:rPr>
                <w:rFonts w:ascii="宋体"/>
                <w:sz w:val="24"/>
              </w:rPr>
            </w:pPr>
          </w:p>
        </w:tc>
        <w:tc>
          <w:tcPr>
            <w:tcW w:w="810" w:type="dxa"/>
            <w:shd w:val="clear" w:color="auto" w:fill="auto"/>
            <w:tcMar>
              <w:top w:w="0" w:type="dxa"/>
              <w:left w:w="105" w:type="dxa"/>
              <w:bottom w:w="0" w:type="dxa"/>
              <w:right w:w="105" w:type="dxa"/>
            </w:tcMar>
          </w:tcPr>
          <w:p>
            <w:pPr>
              <w:rPr>
                <w:rFonts w:ascii="宋体"/>
                <w:sz w:val="24"/>
              </w:rPr>
            </w:pPr>
          </w:p>
        </w:tc>
      </w:tr>
    </w:tbl>
    <w:p>
      <w:pPr>
        <w:pStyle w:val="7"/>
        <w:widowControl/>
        <w:spacing w:beforeAutospacing="0" w:afterAutospacing="0"/>
        <w:rPr>
          <w:rFonts w:ascii="宋体" w:hAnsi="宋体" w:eastAsia="宋体" w:cs="宋体"/>
          <w:sz w:val="21"/>
          <w:szCs w:val="21"/>
        </w:rPr>
      </w:pPr>
    </w:p>
    <w:p>
      <w:pPr>
        <w:pStyle w:val="7"/>
        <w:widowControl/>
        <w:spacing w:beforeAutospacing="0" w:afterAutospacing="0"/>
      </w:pPr>
      <w:r>
        <w:rPr>
          <w:rFonts w:hint="eastAsia" w:ascii="宋体" w:hAnsi="宋体" w:eastAsia="宋体" w:cs="宋体"/>
          <w:sz w:val="21"/>
          <w:szCs w:val="21"/>
        </w:rPr>
        <w:t>※注意：</w:t>
      </w:r>
    </w:p>
    <w:p>
      <w:pPr>
        <w:pStyle w:val="7"/>
        <w:widowControl/>
        <w:spacing w:beforeAutospacing="0" w:afterAutospacing="0"/>
      </w:pPr>
      <w:r>
        <w:rPr>
          <w:rFonts w:hint="eastAsia" w:ascii="宋体" w:hAnsi="宋体" w:eastAsia="宋体" w:cs="宋体"/>
          <w:sz w:val="21"/>
          <w:szCs w:val="21"/>
        </w:rPr>
        <w:t>1、本表应按照下列规定填写：</w:t>
      </w:r>
    </w:p>
    <w:p>
      <w:pPr>
        <w:pStyle w:val="7"/>
        <w:widowControl/>
        <w:spacing w:beforeAutospacing="0" w:afterAutospacing="0"/>
      </w:pPr>
      <w:r>
        <w:rPr>
          <w:rFonts w:hint="eastAsia" w:ascii="宋体" w:hAnsi="宋体" w:eastAsia="宋体" w:cs="宋体"/>
          <w:sz w:val="21"/>
          <w:szCs w:val="21"/>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rPr>
          <w:rFonts w:ascii="Calibri" w:hAnsi="Calibri" w:eastAsia="宋体" w:cs="Calibri"/>
          <w:sz w:val="21"/>
          <w:szCs w:val="21"/>
        </w:rPr>
        <w:t>1</w:t>
      </w:r>
      <w:r>
        <w:rPr>
          <w:rFonts w:hint="eastAsia" w:ascii="宋体" w:hAnsi="宋体" w:eastAsia="宋体" w:cs="宋体"/>
          <w:sz w:val="21"/>
          <w:szCs w:val="21"/>
        </w:rPr>
        <w:t>”时，本表中列示的“采购包”亦应为“</w:t>
      </w:r>
      <w:r>
        <w:rPr>
          <w:rFonts w:ascii="Calibri" w:hAnsi="Calibri" w:eastAsia="宋体" w:cs="Calibri"/>
          <w:sz w:val="21"/>
          <w:szCs w:val="21"/>
        </w:rPr>
        <w:t>1</w:t>
      </w:r>
      <w:r>
        <w:rPr>
          <w:rFonts w:hint="eastAsia" w:ascii="宋体" w:hAnsi="宋体" w:eastAsia="宋体" w:cs="宋体"/>
          <w:sz w:val="21"/>
          <w:szCs w:val="21"/>
        </w:rPr>
        <w:t>”，以此类推。</w:t>
      </w:r>
    </w:p>
    <w:p>
      <w:pPr>
        <w:pStyle w:val="7"/>
        <w:widowControl/>
        <w:spacing w:beforeAutospacing="0" w:afterAutospacing="0"/>
      </w:pPr>
      <w:r>
        <w:rPr>
          <w:rFonts w:hint="eastAsia" w:ascii="宋体" w:hAnsi="宋体" w:eastAsia="宋体" w:cs="宋体"/>
          <w:sz w:val="21"/>
          <w:szCs w:val="21"/>
        </w:rPr>
        <w:t>1.2“投标标的”为货物的：</w:t>
      </w:r>
      <w:r>
        <w:rPr>
          <w:rStyle w:val="10"/>
          <w:rFonts w:hint="eastAsia" w:ascii="宋体" w:hAnsi="宋体" w:eastAsia="宋体" w:cs="宋体"/>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10"/>
          <w:rFonts w:hint="eastAsia" w:ascii="宋体" w:hAnsi="宋体" w:eastAsia="宋体" w:cs="宋体"/>
          <w:sz w:val="21"/>
          <w:szCs w:val="21"/>
        </w:rPr>
        <w:t>“来源地”</w:t>
      </w:r>
      <w:r>
        <w:rPr>
          <w:rFonts w:hint="eastAsia" w:ascii="宋体" w:hAnsi="宋体" w:eastAsia="宋体" w:cs="宋体"/>
          <w:sz w:val="21"/>
          <w:szCs w:val="21"/>
        </w:rPr>
        <w:t>应填写货物的原产地。</w:t>
      </w:r>
    </w:p>
    <w:p>
      <w:pPr>
        <w:pStyle w:val="7"/>
        <w:widowControl/>
        <w:spacing w:beforeAutospacing="0" w:afterAutospacing="0"/>
      </w:pPr>
      <w:r>
        <w:rPr>
          <w:rFonts w:hint="eastAsia" w:ascii="宋体" w:hAnsi="宋体" w:eastAsia="宋体" w:cs="宋体"/>
          <w:sz w:val="21"/>
          <w:szCs w:val="21"/>
        </w:rPr>
        <w:t>1.3“投标标的”为服务的：</w:t>
      </w:r>
      <w:r>
        <w:rPr>
          <w:rStyle w:val="10"/>
          <w:rFonts w:hint="eastAsia" w:ascii="宋体" w:hAnsi="宋体" w:eastAsia="宋体" w:cs="宋体"/>
          <w:sz w:val="21"/>
          <w:szCs w:val="21"/>
        </w:rPr>
        <w:t>“规格”</w:t>
      </w:r>
      <w:r>
        <w:rPr>
          <w:rFonts w:hint="eastAsia" w:ascii="宋体" w:hAnsi="宋体" w:eastAsia="宋体" w:cs="宋体"/>
          <w:sz w:val="21"/>
          <w:szCs w:val="21"/>
        </w:rPr>
        <w:t>项下应填写服务提供者提供的服务标准及品牌（若有）。</w:t>
      </w:r>
      <w:r>
        <w:rPr>
          <w:rStyle w:val="10"/>
          <w:rFonts w:hint="eastAsia" w:ascii="宋体" w:hAnsi="宋体" w:eastAsia="宋体" w:cs="宋体"/>
          <w:sz w:val="21"/>
          <w:szCs w:val="21"/>
        </w:rPr>
        <w:t>“来源地”</w:t>
      </w:r>
      <w:r>
        <w:rPr>
          <w:rFonts w:hint="eastAsia" w:ascii="宋体" w:hAnsi="宋体" w:eastAsia="宋体" w:cs="宋体"/>
          <w:sz w:val="21"/>
          <w:szCs w:val="21"/>
        </w:rPr>
        <w:t>应填写服务提供者的所在地。</w:t>
      </w:r>
    </w:p>
    <w:p>
      <w:pPr>
        <w:pStyle w:val="7"/>
        <w:widowControl/>
        <w:spacing w:beforeAutospacing="0" w:afterAutospacing="0"/>
      </w:pPr>
      <w:r>
        <w:rPr>
          <w:rFonts w:hint="eastAsia" w:ascii="宋体" w:hAnsi="宋体" w:eastAsia="宋体" w:cs="宋体"/>
          <w:sz w:val="21"/>
          <w:szCs w:val="21"/>
        </w:rPr>
        <w:t>1.4同一采购包中，</w:t>
      </w:r>
      <w:r>
        <w:rPr>
          <w:rStyle w:val="10"/>
          <w:rFonts w:hint="eastAsia" w:ascii="宋体" w:hAnsi="宋体" w:eastAsia="宋体" w:cs="宋体"/>
          <w:sz w:val="21"/>
          <w:szCs w:val="21"/>
        </w:rPr>
        <w:t>“单价（现场）”</w:t>
      </w:r>
      <w:r>
        <w:rPr>
          <w:rFonts w:hint="eastAsia" w:ascii="宋体" w:hAnsi="宋体" w:eastAsia="宋体" w:cs="宋体"/>
          <w:sz w:val="21"/>
          <w:szCs w:val="21"/>
        </w:rPr>
        <w:t>×</w:t>
      </w:r>
      <w:r>
        <w:rPr>
          <w:rStyle w:val="10"/>
          <w:rFonts w:hint="eastAsia" w:ascii="宋体" w:hAnsi="宋体" w:eastAsia="宋体" w:cs="宋体"/>
          <w:sz w:val="21"/>
          <w:szCs w:val="21"/>
        </w:rPr>
        <w:t>“数量”</w:t>
      </w:r>
      <w:r>
        <w:rPr>
          <w:rFonts w:hint="eastAsia" w:ascii="宋体" w:hAnsi="宋体" w:eastAsia="宋体" w:cs="宋体"/>
          <w:sz w:val="21"/>
          <w:szCs w:val="21"/>
        </w:rPr>
        <w:t>=</w:t>
      </w:r>
      <w:r>
        <w:rPr>
          <w:rStyle w:val="10"/>
          <w:rFonts w:hint="eastAsia" w:ascii="宋体" w:hAnsi="宋体" w:eastAsia="宋体" w:cs="宋体"/>
          <w:sz w:val="21"/>
          <w:szCs w:val="21"/>
        </w:rPr>
        <w:t>“总价（现场）”</w:t>
      </w:r>
      <w:r>
        <w:rPr>
          <w:rFonts w:hint="eastAsia" w:ascii="宋体" w:hAnsi="宋体" w:eastAsia="宋体" w:cs="宋体"/>
          <w:sz w:val="21"/>
          <w:szCs w:val="21"/>
        </w:rPr>
        <w:t>，全部品目号</w:t>
      </w:r>
      <w:r>
        <w:rPr>
          <w:rStyle w:val="10"/>
          <w:rFonts w:hint="eastAsia" w:ascii="宋体" w:hAnsi="宋体" w:eastAsia="宋体" w:cs="宋体"/>
          <w:sz w:val="21"/>
          <w:szCs w:val="21"/>
        </w:rPr>
        <w:t>“总价（现场）”</w:t>
      </w:r>
      <w:r>
        <w:rPr>
          <w:rFonts w:hint="eastAsia" w:ascii="宋体" w:hAnsi="宋体" w:eastAsia="宋体" w:cs="宋体"/>
          <w:sz w:val="21"/>
          <w:szCs w:val="21"/>
        </w:rPr>
        <w:t>的合计金额应与《开标一览表》中相应采购包列示的</w:t>
      </w:r>
      <w:r>
        <w:rPr>
          <w:rStyle w:val="10"/>
          <w:rFonts w:hint="eastAsia" w:ascii="宋体" w:hAnsi="宋体" w:eastAsia="宋体" w:cs="宋体"/>
          <w:sz w:val="21"/>
          <w:szCs w:val="21"/>
        </w:rPr>
        <w:t>“投标总价”</w:t>
      </w:r>
      <w:r>
        <w:rPr>
          <w:rFonts w:hint="eastAsia" w:ascii="宋体" w:hAnsi="宋体" w:eastAsia="宋体" w:cs="宋体"/>
          <w:sz w:val="21"/>
          <w:szCs w:val="21"/>
        </w:rPr>
        <w:t>保持一致。</w:t>
      </w:r>
    </w:p>
    <w:p>
      <w:pPr>
        <w:pStyle w:val="7"/>
        <w:widowControl/>
        <w:spacing w:beforeAutospacing="0" w:afterAutospacing="0"/>
      </w:pPr>
      <w:r>
        <w:rPr>
          <w:rFonts w:hint="eastAsia" w:ascii="宋体" w:hAnsi="宋体" w:eastAsia="宋体" w:cs="宋体"/>
          <w:sz w:val="21"/>
          <w:szCs w:val="21"/>
        </w:rPr>
        <w:t>1.5若招标文件要求投标人对“备品备件价格、专用工具价格、技术服务费、安装调试费、检验培训费、运输费、保险费、税收”等进行报价的，请在本表的</w:t>
      </w:r>
      <w:r>
        <w:rPr>
          <w:rStyle w:val="10"/>
          <w:rFonts w:hint="eastAsia" w:ascii="宋体" w:hAnsi="宋体" w:eastAsia="宋体" w:cs="宋体"/>
          <w:sz w:val="21"/>
          <w:szCs w:val="21"/>
        </w:rPr>
        <w:t>“备注”</w:t>
      </w:r>
      <w:r>
        <w:rPr>
          <w:rFonts w:hint="eastAsia" w:ascii="宋体" w:hAnsi="宋体" w:eastAsia="宋体" w:cs="宋体"/>
          <w:sz w:val="21"/>
          <w:szCs w:val="21"/>
        </w:rPr>
        <w:t>项下填写。</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spacing w:after="24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r>
        <w:rPr>
          <w:rFonts w:hint="eastAsia" w:ascii="宋体" w:hAnsi="宋体" w:eastAsia="宋体" w:cs="宋体"/>
          <w:sz w:val="21"/>
          <w:szCs w:val="21"/>
        </w:rPr>
        <w:br w:type="textWrapping"/>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 </w:t>
      </w:r>
    </w:p>
    <w:p>
      <w:pPr>
        <w:pStyle w:val="7"/>
        <w:widowControl/>
        <w:jc w:val="center"/>
      </w:pPr>
      <w:r>
        <w:rPr>
          <w:rFonts w:ascii="Calibri" w:hAnsi="Calibri" w:cs="Calibri"/>
          <w:sz w:val="21"/>
          <w:szCs w:val="21"/>
        </w:rPr>
        <w:br w:type="textWrapping"/>
      </w:r>
      <w:r>
        <w:rPr>
          <w:rStyle w:val="10"/>
          <w:rFonts w:hint="eastAsia" w:ascii="宋体" w:hAnsi="宋体" w:eastAsia="宋体" w:cs="宋体"/>
          <w:sz w:val="21"/>
          <w:szCs w:val="21"/>
        </w:rPr>
        <w:t>三、招标文件规定的价格扣除证明材料（若有）</w:t>
      </w:r>
    </w:p>
    <w:p>
      <w:pPr>
        <w:pStyle w:val="7"/>
        <w:widowControl/>
        <w:jc w:val="center"/>
      </w:pPr>
      <w:r>
        <w:rPr>
          <w:rStyle w:val="10"/>
          <w:rFonts w:hint="eastAsia" w:ascii="宋体" w:hAnsi="宋体" w:eastAsia="宋体" w:cs="宋体"/>
          <w:sz w:val="21"/>
          <w:szCs w:val="21"/>
        </w:rPr>
        <w:t>三-1优先类节能产品、环境标志产品价格扣除证明材料（若有）</w:t>
      </w:r>
    </w:p>
    <w:p>
      <w:pPr>
        <w:pStyle w:val="7"/>
        <w:widowControl/>
        <w:jc w:val="center"/>
      </w:pPr>
      <w:r>
        <w:rPr>
          <w:rStyle w:val="10"/>
          <w:rFonts w:hint="eastAsia" w:ascii="宋体" w:hAnsi="宋体" w:eastAsia="宋体" w:cs="宋体"/>
          <w:sz w:val="21"/>
          <w:szCs w:val="21"/>
        </w:rPr>
        <w:t>三-1-①优先类节能产品、环境标志产品统计表（价格扣除适用，若有）</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7"/>
        <w:widowControl/>
        <w:jc w:val="right"/>
      </w:pPr>
      <w:r>
        <w:rPr>
          <w:rFonts w:hint="eastAsia" w:ascii="宋体" w:hAnsi="宋体" w:eastAsia="宋体" w:cs="宋体"/>
          <w:sz w:val="21"/>
          <w:szCs w:val="21"/>
        </w:rPr>
        <w:t>货币及单位：人民币元</w:t>
      </w:r>
    </w:p>
    <w:tbl>
      <w:tblPr>
        <w:tblStyle w:val="8"/>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219"/>
        <w:gridCol w:w="1215"/>
        <w:gridCol w:w="1209"/>
        <w:gridCol w:w="1221"/>
        <w:gridCol w:w="1209"/>
        <w:gridCol w:w="1222"/>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105" w:type="dxa"/>
              <w:bottom w:w="0" w:type="dxa"/>
              <w:right w:w="105" w:type="dxa"/>
            </w:tcMar>
            <w:vAlign w:val="center"/>
          </w:tcPr>
          <w:p>
            <w:pPr>
              <w:rPr>
                <w:rFonts w:ascii="宋体"/>
                <w:sz w:val="24"/>
              </w:rPr>
            </w:pPr>
          </w:p>
        </w:tc>
        <w:tc>
          <w:tcPr>
            <w:tcW w:w="7305" w:type="dxa"/>
            <w:gridSpan w:val="6"/>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本采购包内属于节能、环境标志产品的情况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采购包</w:t>
            </w:r>
          </w:p>
        </w:tc>
        <w:tc>
          <w:tcPr>
            <w:tcW w:w="121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品目号</w:t>
            </w:r>
          </w:p>
        </w:tc>
        <w:tc>
          <w:tcPr>
            <w:tcW w:w="121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货物名称</w:t>
            </w:r>
          </w:p>
        </w:tc>
        <w:tc>
          <w:tcPr>
            <w:tcW w:w="121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单价</w:t>
            </w:r>
          </w:p>
          <w:p>
            <w:pPr>
              <w:pStyle w:val="7"/>
              <w:widowControl/>
              <w:jc w:val="center"/>
            </w:pPr>
            <w:r>
              <w:rPr>
                <w:rFonts w:hint="eastAsia" w:ascii="宋体" w:hAnsi="宋体" w:eastAsia="宋体" w:cs="宋体"/>
                <w:sz w:val="21"/>
                <w:szCs w:val="21"/>
              </w:rPr>
              <w:t>（现场）</w:t>
            </w:r>
          </w:p>
        </w:tc>
        <w:tc>
          <w:tcPr>
            <w:tcW w:w="121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数量</w:t>
            </w:r>
          </w:p>
        </w:tc>
        <w:tc>
          <w:tcPr>
            <w:tcW w:w="121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总价</w:t>
            </w:r>
          </w:p>
          <w:p>
            <w:pPr>
              <w:pStyle w:val="7"/>
              <w:widowControl/>
              <w:jc w:val="center"/>
            </w:pPr>
            <w:r>
              <w:rPr>
                <w:rFonts w:hint="eastAsia" w:ascii="宋体" w:hAnsi="宋体" w:eastAsia="宋体" w:cs="宋体"/>
                <w:sz w:val="21"/>
                <w:szCs w:val="21"/>
              </w:rPr>
              <w:t>（现场）</w:t>
            </w:r>
          </w:p>
        </w:tc>
        <w:tc>
          <w:tcPr>
            <w:tcW w:w="121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vMerge w:val="restart"/>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w:t>
            </w:r>
          </w:p>
        </w:tc>
        <w:tc>
          <w:tcPr>
            <w:tcW w:w="121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*-1</w:t>
            </w:r>
          </w:p>
        </w:tc>
        <w:tc>
          <w:tcPr>
            <w:tcW w:w="1215" w:type="dxa"/>
            <w:shd w:val="clear" w:color="auto" w:fill="auto"/>
            <w:tcMar>
              <w:top w:w="0" w:type="dxa"/>
              <w:left w:w="105" w:type="dxa"/>
              <w:bottom w:w="0" w:type="dxa"/>
              <w:right w:w="105" w:type="dxa"/>
            </w:tcMar>
            <w:vAlign w:val="center"/>
          </w:tcPr>
          <w:p>
            <w:pPr>
              <w:rPr>
                <w:rFonts w:ascii="宋体"/>
                <w:sz w:val="24"/>
              </w:rPr>
            </w:pPr>
          </w:p>
        </w:tc>
        <w:tc>
          <w:tcPr>
            <w:tcW w:w="1215" w:type="dxa"/>
            <w:shd w:val="clear" w:color="auto" w:fill="auto"/>
            <w:tcMar>
              <w:top w:w="0" w:type="dxa"/>
              <w:left w:w="105" w:type="dxa"/>
              <w:bottom w:w="0" w:type="dxa"/>
              <w:right w:w="105" w:type="dxa"/>
            </w:tcMar>
            <w:vAlign w:val="center"/>
          </w:tcPr>
          <w:p>
            <w:pPr>
              <w:rPr>
                <w:rFonts w:ascii="宋体"/>
                <w:sz w:val="24"/>
              </w:rPr>
            </w:pPr>
          </w:p>
        </w:tc>
        <w:tc>
          <w:tcPr>
            <w:tcW w:w="1215" w:type="dxa"/>
            <w:shd w:val="clear" w:color="auto" w:fill="auto"/>
            <w:tcMar>
              <w:top w:w="0" w:type="dxa"/>
              <w:left w:w="105" w:type="dxa"/>
              <w:bottom w:w="0" w:type="dxa"/>
              <w:right w:w="105" w:type="dxa"/>
            </w:tcMar>
            <w:vAlign w:val="center"/>
          </w:tcPr>
          <w:p>
            <w:pPr>
              <w:rPr>
                <w:rFonts w:ascii="宋体"/>
                <w:sz w:val="24"/>
              </w:rPr>
            </w:pPr>
          </w:p>
        </w:tc>
        <w:tc>
          <w:tcPr>
            <w:tcW w:w="1215" w:type="dxa"/>
            <w:shd w:val="clear" w:color="auto" w:fill="auto"/>
            <w:tcMar>
              <w:top w:w="0" w:type="dxa"/>
              <w:left w:w="105" w:type="dxa"/>
              <w:bottom w:w="0" w:type="dxa"/>
              <w:right w:w="105" w:type="dxa"/>
            </w:tcMar>
            <w:vAlign w:val="center"/>
          </w:tcPr>
          <w:p>
            <w:pPr>
              <w:rPr>
                <w:rFonts w:ascii="宋体"/>
                <w:sz w:val="24"/>
              </w:rPr>
            </w:pPr>
          </w:p>
        </w:tc>
        <w:tc>
          <w:tcPr>
            <w:tcW w:w="1215" w:type="dxa"/>
            <w:shd w:val="clear" w:color="auto" w:fill="auto"/>
            <w:tcMar>
              <w:top w:w="0" w:type="dxa"/>
              <w:left w:w="105" w:type="dxa"/>
              <w:bottom w:w="0" w:type="dxa"/>
              <w:right w:w="105" w:type="dxa"/>
            </w:tcMar>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vMerge w:val="continue"/>
            <w:shd w:val="clear" w:color="auto" w:fill="auto"/>
            <w:tcMar>
              <w:top w:w="0" w:type="dxa"/>
              <w:left w:w="105" w:type="dxa"/>
              <w:bottom w:w="0" w:type="dxa"/>
              <w:right w:w="105" w:type="dxa"/>
            </w:tcMar>
            <w:vAlign w:val="center"/>
          </w:tcPr>
          <w:p>
            <w:pPr>
              <w:rPr>
                <w:rFonts w:ascii="宋体"/>
                <w:sz w:val="24"/>
              </w:rPr>
            </w:pPr>
          </w:p>
        </w:tc>
        <w:tc>
          <w:tcPr>
            <w:tcW w:w="1215" w:type="dxa"/>
            <w:shd w:val="clear" w:color="auto" w:fill="auto"/>
            <w:tcMar>
              <w:top w:w="0" w:type="dxa"/>
              <w:left w:w="105" w:type="dxa"/>
              <w:bottom w:w="0" w:type="dxa"/>
              <w:right w:w="105" w:type="dxa"/>
            </w:tcMar>
            <w:vAlign w:val="center"/>
          </w:tcPr>
          <w:p>
            <w:pPr>
              <w:pStyle w:val="7"/>
              <w:widowControl/>
              <w:jc w:val="center"/>
            </w:pPr>
            <w:r>
              <w:rPr>
                <w:rFonts w:ascii="Calibri" w:hAnsi="Calibri" w:cs="Calibri"/>
                <w:sz w:val="21"/>
                <w:szCs w:val="21"/>
              </w:rPr>
              <w:t>…</w:t>
            </w:r>
          </w:p>
        </w:tc>
        <w:tc>
          <w:tcPr>
            <w:tcW w:w="1215" w:type="dxa"/>
            <w:shd w:val="clear" w:color="auto" w:fill="auto"/>
            <w:tcMar>
              <w:top w:w="0" w:type="dxa"/>
              <w:left w:w="105" w:type="dxa"/>
              <w:bottom w:w="0" w:type="dxa"/>
              <w:right w:w="105" w:type="dxa"/>
            </w:tcMar>
            <w:vAlign w:val="center"/>
          </w:tcPr>
          <w:p>
            <w:pPr>
              <w:rPr>
                <w:rFonts w:ascii="宋体"/>
                <w:sz w:val="24"/>
              </w:rPr>
            </w:pPr>
          </w:p>
        </w:tc>
        <w:tc>
          <w:tcPr>
            <w:tcW w:w="1215" w:type="dxa"/>
            <w:shd w:val="clear" w:color="auto" w:fill="auto"/>
            <w:tcMar>
              <w:top w:w="0" w:type="dxa"/>
              <w:left w:w="105" w:type="dxa"/>
              <w:bottom w:w="0" w:type="dxa"/>
              <w:right w:w="105" w:type="dxa"/>
            </w:tcMar>
            <w:vAlign w:val="center"/>
          </w:tcPr>
          <w:p>
            <w:pPr>
              <w:rPr>
                <w:rFonts w:ascii="宋体"/>
                <w:sz w:val="24"/>
              </w:rPr>
            </w:pPr>
          </w:p>
        </w:tc>
        <w:tc>
          <w:tcPr>
            <w:tcW w:w="1215" w:type="dxa"/>
            <w:shd w:val="clear" w:color="auto" w:fill="auto"/>
            <w:tcMar>
              <w:top w:w="0" w:type="dxa"/>
              <w:left w:w="105" w:type="dxa"/>
              <w:bottom w:w="0" w:type="dxa"/>
              <w:right w:w="105" w:type="dxa"/>
            </w:tcMar>
            <w:vAlign w:val="center"/>
          </w:tcPr>
          <w:p>
            <w:pPr>
              <w:rPr>
                <w:rFonts w:ascii="宋体"/>
                <w:sz w:val="24"/>
              </w:rPr>
            </w:pPr>
          </w:p>
        </w:tc>
        <w:tc>
          <w:tcPr>
            <w:tcW w:w="1215" w:type="dxa"/>
            <w:shd w:val="clear" w:color="auto" w:fill="auto"/>
            <w:tcMar>
              <w:top w:w="0" w:type="dxa"/>
              <w:left w:w="105" w:type="dxa"/>
              <w:bottom w:w="0" w:type="dxa"/>
              <w:right w:w="105" w:type="dxa"/>
            </w:tcMar>
            <w:vAlign w:val="center"/>
          </w:tcPr>
          <w:p>
            <w:pPr>
              <w:rPr>
                <w:rFonts w:ascii="宋体"/>
                <w:sz w:val="24"/>
              </w:rPr>
            </w:pPr>
          </w:p>
        </w:tc>
        <w:tc>
          <w:tcPr>
            <w:tcW w:w="1215" w:type="dxa"/>
            <w:shd w:val="clear" w:color="auto" w:fill="auto"/>
            <w:tcMar>
              <w:top w:w="0" w:type="dxa"/>
              <w:left w:w="105" w:type="dxa"/>
              <w:bottom w:w="0" w:type="dxa"/>
              <w:right w:w="105" w:type="dxa"/>
            </w:tcMar>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备注</w:t>
            </w:r>
          </w:p>
        </w:tc>
        <w:tc>
          <w:tcPr>
            <w:tcW w:w="7305" w:type="dxa"/>
            <w:gridSpan w:val="6"/>
            <w:shd w:val="clear" w:color="auto" w:fill="auto"/>
            <w:tcMar>
              <w:top w:w="0" w:type="dxa"/>
              <w:left w:w="105" w:type="dxa"/>
              <w:bottom w:w="0" w:type="dxa"/>
              <w:right w:w="105" w:type="dxa"/>
            </w:tcMar>
          </w:tcPr>
          <w:p>
            <w:pPr>
              <w:pStyle w:val="7"/>
              <w:widowControl/>
            </w:pPr>
            <w:r>
              <w:rPr>
                <w:rFonts w:hint="eastAsia" w:ascii="宋体" w:hAnsi="宋体" w:eastAsia="宋体" w:cs="宋体"/>
                <w:sz w:val="21"/>
                <w:szCs w:val="21"/>
              </w:rPr>
              <w:t>a.采购包内属于节能、环境标志产品的报价总金额：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7"/>
              <w:widowControl/>
            </w:pPr>
            <w:r>
              <w:rPr>
                <w:rFonts w:hint="eastAsia" w:ascii="宋体" w:hAnsi="宋体" w:eastAsia="宋体" w:cs="宋体"/>
                <w:sz w:val="21"/>
                <w:szCs w:val="21"/>
              </w:rPr>
              <w:t>b.采购包投标总价（报价总金额）：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7"/>
              <w:widowControl/>
            </w:pPr>
            <w:r>
              <w:rPr>
                <w:rFonts w:hint="eastAsia" w:ascii="宋体" w:hAnsi="宋体" w:eastAsia="宋体" w:cs="宋体"/>
                <w:sz w:val="21"/>
                <w:szCs w:val="21"/>
              </w:rPr>
              <w:t>c.“采购包内属于节能、环境标志产品的报价总金额”占“采购包投标总价（报价总金额）”的比例（以</w:t>
            </w:r>
            <w:r>
              <w:rPr>
                <w:rFonts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7"/>
        <w:widowControl/>
        <w:spacing w:beforeAutospacing="0" w:afterAutospacing="0"/>
      </w:pPr>
      <w:r>
        <w:rPr>
          <w:rFonts w:hint="eastAsia" w:ascii="宋体" w:hAnsi="宋体" w:eastAsia="宋体" w:cs="宋体"/>
          <w:sz w:val="21"/>
          <w:szCs w:val="21"/>
        </w:rPr>
        <w:t>※注意：</w:t>
      </w:r>
    </w:p>
    <w:p>
      <w:pPr>
        <w:pStyle w:val="7"/>
        <w:widowControl/>
        <w:spacing w:beforeAutospacing="0" w:afterAutospacing="0"/>
      </w:pPr>
      <w:r>
        <w:rPr>
          <w:rFonts w:hint="eastAsia" w:ascii="宋体" w:hAnsi="宋体" w:eastAsia="宋体" w:cs="宋体"/>
          <w:sz w:val="21"/>
          <w:szCs w:val="21"/>
        </w:rPr>
        <w:t>1、对节能、环境标志产品计算价格扣除时，只依据电子投标文件</w:t>
      </w:r>
      <w:r>
        <w:rPr>
          <w:rStyle w:val="10"/>
          <w:rFonts w:hint="eastAsia" w:ascii="宋体" w:hAnsi="宋体" w:eastAsia="宋体" w:cs="宋体"/>
          <w:sz w:val="21"/>
          <w:szCs w:val="21"/>
        </w:rPr>
        <w:t>“三</w:t>
      </w:r>
      <w:r>
        <w:rPr>
          <w:rStyle w:val="10"/>
          <w:rFonts w:ascii="Calibri" w:hAnsi="Calibri" w:eastAsia="宋体" w:cs="Calibri"/>
          <w:sz w:val="21"/>
          <w:szCs w:val="21"/>
        </w:rPr>
        <w:t>-1-</w:t>
      </w:r>
      <w:r>
        <w:rPr>
          <w:rStyle w:val="10"/>
          <w:rFonts w:hint="eastAsia" w:ascii="宋体" w:hAnsi="宋体" w:eastAsia="宋体" w:cs="宋体"/>
          <w:sz w:val="21"/>
          <w:szCs w:val="21"/>
        </w:rPr>
        <w:t>②优先类节能产品、环境标志产品证明材料（价格扣除适用，若有）”。</w:t>
      </w:r>
    </w:p>
    <w:p>
      <w:pPr>
        <w:pStyle w:val="7"/>
        <w:widowControl/>
        <w:spacing w:beforeAutospacing="0" w:afterAutospacing="0"/>
      </w:pPr>
      <w:r>
        <w:rPr>
          <w:rFonts w:hint="eastAsia" w:ascii="宋体" w:hAnsi="宋体" w:eastAsia="宋体" w:cs="宋体"/>
          <w:sz w:val="21"/>
          <w:szCs w:val="21"/>
        </w:rPr>
        <w:t>2、本表以采购包为单位，不同采购包请分别填写；同一采购包请按照其品目号顺序分别填写。</w:t>
      </w:r>
    </w:p>
    <w:p>
      <w:pPr>
        <w:pStyle w:val="7"/>
        <w:widowControl/>
        <w:spacing w:beforeAutospacing="0" w:afterAutospacing="0"/>
      </w:pPr>
      <w:r>
        <w:rPr>
          <w:rFonts w:hint="eastAsia" w:ascii="宋体" w:hAnsi="宋体" w:eastAsia="宋体" w:cs="宋体"/>
          <w:sz w:val="21"/>
          <w:szCs w:val="21"/>
        </w:rPr>
        <w:t>3、具体统计、计算：</w:t>
      </w:r>
    </w:p>
    <w:p>
      <w:pPr>
        <w:pStyle w:val="7"/>
        <w:widowControl/>
        <w:spacing w:beforeAutospacing="0" w:afterAutospacing="0"/>
      </w:pPr>
      <w:r>
        <w:rPr>
          <w:rFonts w:hint="eastAsia" w:ascii="宋体" w:hAnsi="宋体" w:eastAsia="宋体" w:cs="宋体"/>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7"/>
        <w:widowControl/>
        <w:spacing w:beforeAutospacing="0" w:afterAutospacing="0"/>
      </w:pPr>
      <w:r>
        <w:rPr>
          <w:rFonts w:hint="eastAsia" w:ascii="宋体" w:hAnsi="宋体" w:eastAsia="宋体" w:cs="宋体"/>
          <w:sz w:val="21"/>
          <w:szCs w:val="21"/>
        </w:rPr>
        <w:t>3.2计算结果若除不尽，可四舍五入保留到小数点后两位。</w:t>
      </w:r>
    </w:p>
    <w:p>
      <w:pPr>
        <w:pStyle w:val="7"/>
        <w:widowControl/>
        <w:spacing w:beforeAutospacing="0" w:afterAutospacing="0"/>
      </w:pPr>
      <w:r>
        <w:rPr>
          <w:rFonts w:hint="eastAsia" w:ascii="宋体" w:hAnsi="宋体" w:eastAsia="宋体" w:cs="宋体"/>
          <w:sz w:val="21"/>
          <w:szCs w:val="21"/>
        </w:rPr>
        <w:t>3.3投标人应按照招标文件要求认真统计、计算，否则评标委员会不予认定。</w:t>
      </w:r>
    </w:p>
    <w:p>
      <w:pPr>
        <w:pStyle w:val="7"/>
        <w:widowControl/>
      </w:pPr>
      <w:r>
        <w:rPr>
          <w:rFonts w:hint="eastAsia" w:ascii="宋体" w:hAnsi="宋体" w:eastAsia="宋体" w:cs="宋体"/>
          <w:sz w:val="21"/>
          <w:szCs w:val="21"/>
        </w:rPr>
        <w:t>3.4若无节能、环境标志产品，不填写本表，否则，</w:t>
      </w:r>
      <w:r>
        <w:rPr>
          <w:rStyle w:val="10"/>
          <w:rFonts w:hint="eastAsia" w:ascii="宋体" w:hAnsi="宋体" w:eastAsia="宋体" w:cs="宋体"/>
          <w:sz w:val="21"/>
          <w:szCs w:val="21"/>
        </w:rPr>
        <w:t>视为提供虚假材料。</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pPr>
      <w:r>
        <w:rPr>
          <w:rStyle w:val="10"/>
          <w:rFonts w:hint="eastAsia" w:ascii="宋体" w:hAnsi="宋体" w:eastAsia="宋体" w:cs="宋体"/>
          <w:sz w:val="21"/>
          <w:szCs w:val="21"/>
        </w:rPr>
        <w:t> </w:t>
      </w:r>
    </w:p>
    <w:p>
      <w:pPr>
        <w:pStyle w:val="7"/>
        <w:widowControl/>
        <w:jc w:val="center"/>
      </w:pPr>
      <w:r>
        <w:rPr>
          <w:rStyle w:val="10"/>
          <w:rFonts w:ascii="Calibri" w:hAnsi="Calibri" w:cs="Calibri"/>
          <w:sz w:val="21"/>
          <w:szCs w:val="21"/>
        </w:rPr>
        <w:br w:type="textWrapping"/>
      </w:r>
      <w:r>
        <w:rPr>
          <w:rStyle w:val="10"/>
          <w:rFonts w:hint="eastAsia" w:ascii="宋体" w:hAnsi="宋体" w:eastAsia="宋体" w:cs="宋体"/>
          <w:sz w:val="21"/>
          <w:szCs w:val="21"/>
        </w:rPr>
        <w:t>三-1-②优先类节能产品、环境标志产品证明材料（价格扣除适用，若有）</w:t>
      </w:r>
    </w:p>
    <w:p>
      <w:pPr>
        <w:pStyle w:val="7"/>
        <w:widowControl/>
        <w:jc w:val="center"/>
      </w:pPr>
      <w:r>
        <w:rPr>
          <w:rStyle w:val="10"/>
          <w:rFonts w:hint="eastAsia" w:ascii="宋体" w:hAnsi="宋体" w:eastAsia="宋体" w:cs="宋体"/>
          <w:sz w:val="21"/>
          <w:szCs w:val="21"/>
        </w:rPr>
        <w:t>三-2小型、微型企业产品等价格扣除证明材料（若有）</w:t>
      </w:r>
    </w:p>
    <w:p>
      <w:pPr>
        <w:pStyle w:val="7"/>
        <w:widowControl/>
        <w:jc w:val="center"/>
      </w:pPr>
      <w:r>
        <w:rPr>
          <w:rStyle w:val="10"/>
          <w:rFonts w:hint="eastAsia" w:ascii="宋体" w:hAnsi="宋体" w:eastAsia="宋体" w:cs="宋体"/>
          <w:sz w:val="21"/>
          <w:szCs w:val="21"/>
        </w:rPr>
        <w:t>三-2-①中小企业声明函（价格扣除适用，若有）</w:t>
      </w:r>
    </w:p>
    <w:p>
      <w:pPr>
        <w:pStyle w:val="7"/>
        <w:widowControl/>
      </w:pPr>
    </w:p>
    <w:p>
      <w:pPr>
        <w:pStyle w:val="4"/>
        <w:widowControl/>
        <w:spacing w:before="150" w:beforeAutospacing="0" w:after="150" w:afterAutospacing="0"/>
        <w:jc w:val="center"/>
        <w:rPr>
          <w:rFonts w:hint="default"/>
        </w:rPr>
      </w:pPr>
      <w:r>
        <w:rPr>
          <w:rStyle w:val="10"/>
          <w:rFonts w:cs="宋体"/>
          <w:b/>
          <w:sz w:val="24"/>
          <w:szCs w:val="24"/>
        </w:rPr>
        <w:t>中小企业声明函（货物）</w:t>
      </w:r>
    </w:p>
    <w:p>
      <w:pPr>
        <w:pStyle w:val="7"/>
        <w:widowControl/>
        <w:spacing w:before="75" w:beforeAutospacing="0" w:after="75" w:afterAutospacing="0"/>
        <w:ind w:firstLine="420"/>
      </w:pPr>
      <w:r>
        <w:rPr>
          <w:rFonts w:hint="eastAsia" w:ascii="宋体" w:hAnsi="宋体" w:eastAsia="宋体" w:cs="宋体"/>
          <w:sz w:val="21"/>
          <w:szCs w:val="21"/>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pStyle w:val="7"/>
        <w:widowControl/>
        <w:spacing w:before="75" w:beforeAutospacing="0" w:after="75" w:afterAutospacing="0"/>
        <w:ind w:firstLine="420"/>
      </w:pPr>
      <w:r>
        <w:rPr>
          <w:rFonts w:hint="eastAsia" w:ascii="宋体" w:hAnsi="宋体" w:eastAsia="宋体" w:cs="宋体"/>
          <w:sz w:val="21"/>
          <w:szCs w:val="21"/>
        </w:rPr>
        <w:t>1. </w:t>
      </w:r>
      <w:r>
        <w:rPr>
          <w:rFonts w:hint="eastAsia" w:ascii="宋体" w:hAnsi="宋体" w:eastAsia="宋体" w:cs="宋体"/>
          <w:sz w:val="21"/>
          <w:szCs w:val="21"/>
          <w:u w:val="single"/>
        </w:rPr>
        <w:t> （标的名称） </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行业；制造商为（企业名称），从业人员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7"/>
        <w:widowControl/>
        <w:spacing w:before="75" w:beforeAutospacing="0" w:after="75" w:afterAutospacing="0"/>
        <w:ind w:firstLine="420"/>
      </w:pPr>
      <w:r>
        <w:rPr>
          <w:rFonts w:hint="eastAsia" w:ascii="宋体" w:hAnsi="宋体" w:eastAsia="宋体" w:cs="宋体"/>
          <w:sz w:val="21"/>
          <w:szCs w:val="21"/>
        </w:rPr>
        <w:t>2. </w:t>
      </w:r>
      <w:r>
        <w:rPr>
          <w:rFonts w:hint="eastAsia" w:ascii="宋体" w:hAnsi="宋体" w:eastAsia="宋体" w:cs="宋体"/>
          <w:sz w:val="21"/>
          <w:szCs w:val="21"/>
          <w:u w:val="single"/>
        </w:rPr>
        <w:t> （标的名称） </w:t>
      </w:r>
      <w:r>
        <w:rPr>
          <w:rFonts w:hint="eastAsia" w:ascii="宋体" w:hAnsi="宋体" w:eastAsia="宋体" w:cs="宋体"/>
          <w:sz w:val="21"/>
          <w:szCs w:val="21"/>
        </w:rPr>
        <w:t>， 属于</w:t>
      </w:r>
      <w:r>
        <w:rPr>
          <w:rFonts w:hint="eastAsia" w:ascii="宋体" w:hAnsi="宋体" w:eastAsia="宋体" w:cs="宋体"/>
          <w:sz w:val="21"/>
          <w:szCs w:val="21"/>
          <w:u w:val="single"/>
        </w:rPr>
        <w:t> （采购文件中明确的所属行业 ）</w:t>
      </w:r>
      <w:r>
        <w:rPr>
          <w:rFonts w:hint="eastAsia" w:ascii="宋体" w:hAnsi="宋体" w:eastAsia="宋体" w:cs="宋体"/>
          <w:sz w:val="21"/>
          <w:szCs w:val="21"/>
        </w:rPr>
        <w:t>行业；制造商为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7"/>
        <w:widowControl/>
        <w:spacing w:before="75" w:beforeAutospacing="0" w:after="75" w:afterAutospacing="0"/>
        <w:ind w:firstLine="420"/>
      </w:pPr>
      <w:r>
        <w:rPr>
          <w:rFonts w:ascii="Calibri" w:hAnsi="Calibri" w:cs="Calibri"/>
        </w:rPr>
        <w:t>  </w:t>
      </w:r>
    </w:p>
    <w:p>
      <w:pPr>
        <w:pStyle w:val="7"/>
        <w:widowControl/>
        <w:spacing w:before="75" w:beforeAutospacing="0" w:after="75" w:afterAutospacing="0"/>
        <w:ind w:firstLine="420"/>
      </w:pPr>
      <w:r>
        <w:rPr>
          <w:rFonts w:hint="eastAsia" w:ascii="宋体" w:hAnsi="宋体" w:eastAsia="宋体" w:cs="宋体"/>
          <w:sz w:val="21"/>
          <w:szCs w:val="21"/>
        </w:rPr>
        <w:t>……</w:t>
      </w:r>
    </w:p>
    <w:p>
      <w:pPr>
        <w:pStyle w:val="7"/>
        <w:widowControl/>
        <w:spacing w:before="75" w:beforeAutospacing="0" w:after="75" w:afterAutospacing="0"/>
        <w:ind w:firstLine="420"/>
      </w:pPr>
      <w:r>
        <w:rPr>
          <w:rFonts w:hint="eastAsia" w:ascii="宋体" w:hAnsi="宋体" w:eastAsia="宋体" w:cs="宋体"/>
          <w:sz w:val="21"/>
          <w:szCs w:val="21"/>
        </w:rPr>
        <w:t> </w:t>
      </w:r>
    </w:p>
    <w:p>
      <w:pPr>
        <w:pStyle w:val="7"/>
        <w:widowControl/>
        <w:spacing w:before="75" w:beforeAutospacing="0" w:after="75" w:afterAutospacing="0"/>
        <w:ind w:firstLine="420"/>
      </w:pPr>
      <w:r>
        <w:rPr>
          <w:rFonts w:hint="eastAsia" w:ascii="宋体" w:hAnsi="宋体" w:eastAsia="宋体" w:cs="宋体"/>
          <w:sz w:val="21"/>
          <w:szCs w:val="21"/>
        </w:rPr>
        <w:t>以上企业，不属于大企业的分支机构，不存在控股股东为大企业的情形，也不存在与大企业的负责人为同一人的情形。</w:t>
      </w:r>
    </w:p>
    <w:p>
      <w:pPr>
        <w:pStyle w:val="7"/>
        <w:widowControl/>
        <w:spacing w:before="75" w:beforeAutospacing="0" w:after="75" w:afterAutospacing="0"/>
        <w:ind w:firstLine="420"/>
      </w:pPr>
      <w:r>
        <w:rPr>
          <w:rFonts w:hint="eastAsia" w:ascii="宋体" w:hAnsi="宋体" w:eastAsia="宋体" w:cs="宋体"/>
          <w:sz w:val="21"/>
          <w:szCs w:val="21"/>
        </w:rPr>
        <w:t> </w:t>
      </w:r>
    </w:p>
    <w:p>
      <w:pPr>
        <w:pStyle w:val="7"/>
        <w:widowControl/>
        <w:spacing w:before="75" w:beforeAutospacing="0" w:after="75" w:afterAutospacing="0"/>
        <w:ind w:firstLine="420"/>
      </w:pPr>
      <w:r>
        <w:rPr>
          <w:rFonts w:hint="eastAsia" w:ascii="宋体" w:hAnsi="宋体" w:eastAsia="宋体" w:cs="宋体"/>
          <w:sz w:val="21"/>
          <w:szCs w:val="21"/>
        </w:rPr>
        <w:t>本企业对上述声明内容的真实性负责。如有虚假，将依法承担相应责任。</w:t>
      </w:r>
    </w:p>
    <w:p>
      <w:pPr>
        <w:pStyle w:val="7"/>
        <w:widowControl/>
        <w:spacing w:before="75" w:beforeAutospacing="0" w:after="75" w:afterAutospacing="0"/>
        <w:ind w:firstLine="420"/>
        <w:rPr>
          <w:rFonts w:ascii="宋体" w:hAnsi="宋体" w:eastAsia="宋体" w:cs="宋体"/>
          <w:sz w:val="21"/>
          <w:szCs w:val="21"/>
        </w:rPr>
      </w:pPr>
      <w:r>
        <w:rPr>
          <w:rFonts w:hint="eastAsia" w:ascii="宋体" w:hAnsi="宋体" w:eastAsia="宋体" w:cs="宋体"/>
          <w:sz w:val="21"/>
          <w:szCs w:val="21"/>
        </w:rPr>
        <w:t>                                                                               企业名称（盖章）： </w:t>
      </w:r>
    </w:p>
    <w:p>
      <w:pPr>
        <w:pStyle w:val="7"/>
        <w:widowControl/>
        <w:spacing w:before="75" w:beforeAutospacing="0" w:after="75" w:afterAutospacing="0"/>
        <w:ind w:firstLine="5880" w:firstLineChars="2800"/>
      </w:pPr>
      <w:r>
        <w:rPr>
          <w:rFonts w:hint="eastAsia" w:ascii="宋体" w:hAnsi="宋体" w:eastAsia="宋体" w:cs="宋体"/>
          <w:sz w:val="21"/>
          <w:szCs w:val="21"/>
        </w:rPr>
        <w:t>日期：</w:t>
      </w:r>
    </w:p>
    <w:p>
      <w:pPr>
        <w:pStyle w:val="7"/>
        <w:widowControl/>
        <w:spacing w:before="75" w:beforeAutospacing="0" w:after="75" w:afterAutospacing="0"/>
        <w:ind w:firstLine="420"/>
      </w:pPr>
      <w:r>
        <w:rPr>
          <w:rFonts w:hint="eastAsia" w:ascii="宋体" w:hAnsi="宋体" w:eastAsia="宋体" w:cs="宋体"/>
          <w:sz w:val="21"/>
          <w:szCs w:val="21"/>
        </w:rPr>
        <w:t> </w:t>
      </w:r>
    </w:p>
    <w:p>
      <w:pPr>
        <w:pStyle w:val="7"/>
        <w:widowControl/>
        <w:spacing w:before="75" w:beforeAutospacing="0" w:after="75" w:afterAutospacing="0"/>
        <w:ind w:firstLine="420"/>
      </w:pPr>
      <w:r>
        <w:rPr>
          <w:rStyle w:val="10"/>
          <w:rFonts w:hint="eastAsia" w:ascii="宋体" w:hAnsi="宋体" w:eastAsia="宋体" w:cs="宋体"/>
          <w:sz w:val="21"/>
          <w:szCs w:val="21"/>
        </w:rPr>
        <w:t>1、从业人员、营业收入、资产总额填报上一年度数据，无上一年度数据的新成立企业可不填报。</w:t>
      </w:r>
    </w:p>
    <w:p>
      <w:pPr>
        <w:pStyle w:val="7"/>
        <w:widowControl/>
        <w:spacing w:before="75" w:beforeAutospacing="0" w:after="75" w:afterAutospacing="0"/>
        <w:ind w:firstLine="420"/>
      </w:pPr>
      <w:r>
        <w:rPr>
          <w:rStyle w:val="10"/>
          <w:rFonts w:hint="eastAsia" w:ascii="宋体" w:hAnsi="宋体" w:eastAsia="宋体" w:cs="宋体"/>
          <w:sz w:val="21"/>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7"/>
        <w:widowControl/>
        <w:spacing w:before="75" w:beforeAutospacing="0" w:after="75" w:afterAutospacing="0"/>
        <w:ind w:firstLine="420"/>
      </w:pPr>
      <w:r>
        <w:rPr>
          <w:rStyle w:val="10"/>
          <w:rFonts w:hint="eastAsia" w:ascii="宋体" w:hAnsi="宋体" w:eastAsia="宋体" w:cs="宋体"/>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widowControl/>
        <w:spacing w:before="150" w:beforeAutospacing="0" w:after="150" w:afterAutospacing="0"/>
        <w:jc w:val="center"/>
        <w:rPr>
          <w:rFonts w:hint="default"/>
        </w:rPr>
      </w:pPr>
      <w:r>
        <w:rPr>
          <w:rStyle w:val="10"/>
          <w:rFonts w:cs="宋体"/>
          <w:b/>
          <w:sz w:val="24"/>
          <w:szCs w:val="24"/>
        </w:rPr>
        <w:t>中小企业声明函（工程、服务</w:t>
      </w:r>
      <w:r>
        <w:rPr>
          <w:rStyle w:val="10"/>
          <w:rFonts w:cs="宋体"/>
          <w:b/>
          <w:sz w:val="21"/>
          <w:szCs w:val="21"/>
        </w:rPr>
        <w:t>）</w:t>
      </w:r>
    </w:p>
    <w:p>
      <w:pPr>
        <w:pStyle w:val="7"/>
        <w:widowControl/>
        <w:spacing w:before="75" w:beforeAutospacing="0" w:after="75" w:afterAutospacing="0"/>
        <w:ind w:firstLine="420"/>
      </w:pPr>
      <w:r>
        <w:rPr>
          <w:rFonts w:hint="eastAsia" w:ascii="宋体" w:hAnsi="宋体" w:eastAsia="宋体" w:cs="宋体"/>
          <w:sz w:val="21"/>
          <w:szCs w:val="21"/>
        </w:rPr>
        <w:t>    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7"/>
        <w:widowControl/>
        <w:spacing w:before="75" w:beforeAutospacing="0" w:after="75" w:afterAutospacing="0"/>
        <w:ind w:firstLine="420"/>
      </w:pPr>
      <w:r>
        <w:rPr>
          <w:rFonts w:hint="eastAsia" w:ascii="宋体" w:hAnsi="宋体" w:eastAsia="宋体" w:cs="宋体"/>
          <w:sz w:val="21"/>
          <w:szCs w:val="21"/>
        </w:rPr>
        <w:t>1.</w:t>
      </w:r>
      <w:r>
        <w:rPr>
          <w:rFonts w:hint="eastAsia" w:ascii="宋体" w:hAnsi="宋体" w:eastAsia="宋体" w:cs="宋体"/>
          <w:sz w:val="21"/>
          <w:szCs w:val="21"/>
          <w:u w:val="single"/>
        </w:rPr>
        <w:t> （标的名称）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7"/>
        <w:widowControl/>
        <w:spacing w:before="75" w:beforeAutospacing="0" w:after="75" w:afterAutospacing="0"/>
      </w:pPr>
      <w:r>
        <w:rPr>
          <w:rFonts w:hint="eastAsia" w:ascii="宋体" w:hAnsi="宋体" w:eastAsia="宋体" w:cs="宋体"/>
          <w:sz w:val="21"/>
          <w:szCs w:val="21"/>
        </w:rPr>
        <w:t> 　2.</w:t>
      </w:r>
      <w:r>
        <w:rPr>
          <w:rFonts w:hint="eastAsia" w:ascii="宋体" w:hAnsi="宋体" w:eastAsia="宋体" w:cs="宋体"/>
          <w:sz w:val="21"/>
          <w:szCs w:val="21"/>
          <w:u w:val="single"/>
        </w:rPr>
        <w:t> （标的名称）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t>；</w:t>
      </w:r>
    </w:p>
    <w:p>
      <w:pPr>
        <w:pStyle w:val="7"/>
        <w:widowControl/>
        <w:spacing w:before="75" w:beforeAutospacing="0" w:after="75" w:afterAutospacing="0"/>
      </w:pPr>
      <w:r>
        <w:rPr>
          <w:rFonts w:hint="eastAsia" w:ascii="宋体" w:hAnsi="宋体" w:eastAsia="宋体" w:cs="宋体"/>
          <w:sz w:val="21"/>
          <w:szCs w:val="21"/>
        </w:rPr>
        <w:t> </w:t>
      </w:r>
    </w:p>
    <w:p>
      <w:pPr>
        <w:pStyle w:val="7"/>
        <w:widowControl/>
        <w:spacing w:before="75" w:beforeAutospacing="0" w:after="75" w:afterAutospacing="0"/>
      </w:pPr>
      <w:r>
        <w:rPr>
          <w:rFonts w:hint="eastAsia" w:ascii="宋体" w:hAnsi="宋体" w:eastAsia="宋体" w:cs="宋体"/>
          <w:sz w:val="21"/>
          <w:szCs w:val="21"/>
        </w:rPr>
        <w:t>……</w:t>
      </w:r>
    </w:p>
    <w:p>
      <w:pPr>
        <w:pStyle w:val="7"/>
        <w:widowControl/>
        <w:spacing w:before="75" w:beforeAutospacing="0" w:after="75" w:afterAutospacing="0"/>
      </w:pPr>
      <w:r>
        <w:rPr>
          <w:rFonts w:hint="eastAsia" w:ascii="宋体" w:hAnsi="宋体" w:eastAsia="宋体" w:cs="宋体"/>
          <w:sz w:val="21"/>
          <w:szCs w:val="21"/>
        </w:rPr>
        <w:t> </w:t>
      </w:r>
    </w:p>
    <w:p>
      <w:pPr>
        <w:pStyle w:val="7"/>
        <w:widowControl/>
        <w:spacing w:before="75" w:beforeAutospacing="0" w:after="75" w:afterAutospacing="0"/>
      </w:pPr>
      <w:r>
        <w:rPr>
          <w:rFonts w:hint="eastAsia" w:ascii="宋体" w:hAnsi="宋体" w:eastAsia="宋体" w:cs="宋体"/>
          <w:sz w:val="21"/>
          <w:szCs w:val="21"/>
        </w:rPr>
        <w:t>   以上企业，不属于大企业的分支机构，不存在控股股东为大企业的情形，也不存在与大企业的负责人为同一人的情形。</w:t>
      </w:r>
    </w:p>
    <w:p>
      <w:pPr>
        <w:pStyle w:val="7"/>
        <w:widowControl/>
        <w:spacing w:before="75" w:beforeAutospacing="0" w:after="75" w:afterAutospacing="0"/>
      </w:pPr>
      <w:r>
        <w:rPr>
          <w:rFonts w:hint="eastAsia" w:ascii="宋体" w:hAnsi="宋体" w:eastAsia="宋体" w:cs="宋体"/>
          <w:sz w:val="21"/>
          <w:szCs w:val="21"/>
        </w:rPr>
        <w:t> </w:t>
      </w:r>
    </w:p>
    <w:p>
      <w:pPr>
        <w:pStyle w:val="7"/>
        <w:widowControl/>
        <w:spacing w:before="75" w:beforeAutospacing="0" w:after="75" w:afterAutospacing="0"/>
      </w:pPr>
      <w:r>
        <w:rPr>
          <w:rFonts w:hint="eastAsia" w:ascii="宋体" w:hAnsi="宋体" w:eastAsia="宋体" w:cs="宋体"/>
          <w:sz w:val="21"/>
          <w:szCs w:val="21"/>
        </w:rPr>
        <w:t>   本企业对上述声明内容的真实性负责。如有虚假，将依法承担相应责任。</w:t>
      </w:r>
    </w:p>
    <w:p>
      <w:pPr>
        <w:pStyle w:val="7"/>
        <w:widowControl/>
        <w:spacing w:before="75" w:beforeAutospacing="0" w:after="75" w:afterAutospacing="0"/>
      </w:pPr>
      <w:r>
        <w:rPr>
          <w:rFonts w:hint="eastAsia" w:ascii="宋体" w:hAnsi="宋体" w:eastAsia="宋体" w:cs="宋体"/>
          <w:sz w:val="21"/>
          <w:szCs w:val="21"/>
        </w:rPr>
        <w:t> </w:t>
      </w:r>
    </w:p>
    <w:p>
      <w:pPr>
        <w:pStyle w:val="7"/>
        <w:widowControl/>
        <w:spacing w:before="75" w:beforeAutospacing="0" w:after="75" w:afterAutospacing="0"/>
      </w:pPr>
      <w:r>
        <w:rPr>
          <w:rFonts w:hint="eastAsia" w:ascii="宋体" w:hAnsi="宋体" w:eastAsia="宋体" w:cs="宋体"/>
          <w:sz w:val="21"/>
          <w:szCs w:val="21"/>
        </w:rPr>
        <w:t>                                                         　　　　　　　　　　　企业名称（盖章）：   </w:t>
      </w:r>
    </w:p>
    <w:p>
      <w:pPr>
        <w:pStyle w:val="7"/>
        <w:widowControl/>
        <w:spacing w:before="75" w:beforeAutospacing="0" w:after="75" w:afterAutospacing="0"/>
      </w:pPr>
      <w:r>
        <w:rPr>
          <w:rFonts w:hint="eastAsia" w:ascii="宋体" w:hAnsi="宋体" w:eastAsia="宋体" w:cs="宋体"/>
          <w:sz w:val="21"/>
          <w:szCs w:val="21"/>
        </w:rPr>
        <w:t>                            日期：</w:t>
      </w:r>
    </w:p>
    <w:p>
      <w:pPr>
        <w:pStyle w:val="7"/>
        <w:widowControl/>
        <w:spacing w:before="75" w:beforeAutospacing="0" w:after="75" w:afterAutospacing="0"/>
      </w:pPr>
      <w:r>
        <w:rPr>
          <w:rFonts w:hint="eastAsia" w:ascii="宋体" w:hAnsi="宋体" w:eastAsia="宋体" w:cs="宋体"/>
          <w:sz w:val="21"/>
          <w:szCs w:val="21"/>
        </w:rPr>
        <w:t> </w:t>
      </w:r>
    </w:p>
    <w:p>
      <w:pPr>
        <w:pStyle w:val="7"/>
        <w:widowControl/>
        <w:spacing w:before="75" w:beforeAutospacing="0" w:after="75" w:afterAutospacing="0"/>
        <w:ind w:firstLine="420"/>
      </w:pPr>
      <w:r>
        <w:rPr>
          <w:rStyle w:val="10"/>
          <w:rFonts w:hint="eastAsia" w:ascii="宋体" w:hAnsi="宋体" w:eastAsia="宋体" w:cs="宋体"/>
          <w:sz w:val="21"/>
          <w:szCs w:val="21"/>
        </w:rPr>
        <w:t>1、从业人员、营业收入、资产总额填报上一年度数据，无上一年度数据的新成立企业可不填报。</w:t>
      </w:r>
    </w:p>
    <w:p>
      <w:pPr>
        <w:pStyle w:val="7"/>
        <w:widowControl/>
        <w:spacing w:before="75" w:beforeAutospacing="0" w:after="75" w:afterAutospacing="0"/>
        <w:ind w:firstLine="420"/>
      </w:pPr>
      <w:r>
        <w:rPr>
          <w:rStyle w:val="10"/>
          <w:rFonts w:hint="eastAsia" w:ascii="宋体" w:hAnsi="宋体" w:eastAsia="宋体" w:cs="宋体"/>
          <w:sz w:val="21"/>
          <w:szCs w:val="21"/>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7"/>
        <w:widowControl/>
        <w:spacing w:before="75" w:beforeAutospacing="0" w:after="75" w:afterAutospacing="0"/>
        <w:ind w:firstLine="420"/>
      </w:pPr>
      <w:r>
        <w:rPr>
          <w:rStyle w:val="10"/>
          <w:rFonts w:hint="eastAsia" w:ascii="宋体" w:hAnsi="宋体" w:eastAsia="宋体" w:cs="宋体"/>
          <w:sz w:val="21"/>
          <w:szCs w:val="2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7"/>
        <w:widowControl/>
        <w:jc w:val="center"/>
      </w:pPr>
      <w:r>
        <w:rPr>
          <w:rStyle w:val="10"/>
          <w:rFonts w:hint="eastAsia" w:ascii="宋体" w:hAnsi="宋体" w:eastAsia="宋体" w:cs="宋体"/>
          <w:sz w:val="21"/>
          <w:szCs w:val="21"/>
        </w:rPr>
        <w:t> </w:t>
      </w:r>
    </w:p>
    <w:p>
      <w:pPr>
        <w:pStyle w:val="7"/>
        <w:widowControl/>
        <w:spacing w:after="240" w:afterAutospacing="0"/>
      </w:pPr>
      <w:r>
        <w:rPr>
          <w:rFonts w:ascii="Calibri" w:hAnsi="Calibri" w:cs="Calibri"/>
          <w:sz w:val="21"/>
          <w:szCs w:val="21"/>
        </w:rPr>
        <w:br w:type="textWrapping"/>
      </w:r>
      <w:r>
        <w:rPr>
          <w:rFonts w:ascii="Calibri" w:hAnsi="Calibri" w:cs="Calibri"/>
          <w:sz w:val="21"/>
          <w:szCs w:val="21"/>
        </w:rPr>
        <w:br w:type="textWrapping"/>
      </w:r>
      <w:r>
        <w:rPr>
          <w:rFonts w:ascii="Calibri" w:hAnsi="Calibri" w:cs="Calibri"/>
          <w:sz w:val="21"/>
          <w:szCs w:val="21"/>
        </w:rPr>
        <w:br w:type="textWrapping"/>
      </w:r>
    </w:p>
    <w:p>
      <w:pPr>
        <w:pStyle w:val="7"/>
        <w:widowControl/>
        <w:jc w:val="center"/>
      </w:pPr>
      <w:r>
        <w:rPr>
          <w:rStyle w:val="10"/>
          <w:rFonts w:hint="eastAsia" w:ascii="宋体" w:hAnsi="宋体" w:eastAsia="宋体" w:cs="宋体"/>
          <w:sz w:val="21"/>
          <w:szCs w:val="21"/>
        </w:rPr>
        <w:t>三-2-②小型、微型企业等证明材料（价格扣除适用，若有）</w:t>
      </w:r>
    </w:p>
    <w:p>
      <w:pPr>
        <w:pStyle w:val="7"/>
        <w:widowControl/>
        <w:jc w:val="center"/>
      </w:pPr>
      <w:r>
        <w:rPr>
          <w:rFonts w:hint="eastAsia" w:ascii="宋体" w:hAnsi="宋体" w:eastAsia="宋体" w:cs="宋体"/>
          <w:sz w:val="21"/>
          <w:szCs w:val="21"/>
        </w:rPr>
        <w:t>编制说明</w:t>
      </w:r>
    </w:p>
    <w:p>
      <w:pPr>
        <w:pStyle w:val="7"/>
        <w:widowControl/>
      </w:pPr>
      <w:r>
        <w:rPr>
          <w:rFonts w:hint="eastAsia" w:ascii="宋体" w:hAnsi="宋体" w:eastAsia="宋体" w:cs="宋体"/>
          <w:sz w:val="21"/>
          <w:szCs w:val="21"/>
        </w:rPr>
        <w:t>1、投标人应按照招标文件要求提供相应证明材料，证明材料应与《中小企业声明函》的内容相一致，否则视为《中小企业声明函》内容不真实。</w:t>
      </w:r>
    </w:p>
    <w:p>
      <w:pPr>
        <w:pStyle w:val="7"/>
        <w:widowControl/>
      </w:pPr>
      <w:r>
        <w:rPr>
          <w:rFonts w:hint="eastAsia" w:ascii="宋体" w:hAnsi="宋体" w:eastAsia="宋体" w:cs="宋体"/>
          <w:sz w:val="21"/>
          <w:szCs w:val="21"/>
        </w:rPr>
        <w:t>2、投标人为监狱企业的，根据其提供的由省级以上监狱管理局、戒毒管理局（含新疆生产建设兵团）出具的属于监狱企业的证明文件进行认定，监狱企业视同小型、微型企业。</w:t>
      </w:r>
    </w:p>
    <w:p>
      <w:pPr>
        <w:pStyle w:val="7"/>
        <w:widowControl/>
      </w:pPr>
      <w:r>
        <w:rPr>
          <w:rFonts w:hint="eastAsia" w:ascii="宋体" w:hAnsi="宋体" w:eastAsia="宋体" w:cs="宋体"/>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7"/>
        <w:widowControl/>
      </w:pPr>
      <w:r>
        <w:rPr>
          <w:rFonts w:ascii="Calibri" w:hAnsi="Calibri" w:cs="Calibri"/>
          <w:sz w:val="21"/>
          <w:szCs w:val="21"/>
        </w:rPr>
        <w:br w:type="textWrapping"/>
      </w:r>
      <w:r>
        <w:rPr>
          <w:rFonts w:hint="eastAsia" w:ascii="宋体" w:hAnsi="宋体" w:eastAsia="宋体" w:cs="宋体"/>
          <w:sz w:val="21"/>
          <w:szCs w:val="21"/>
        </w:rPr>
        <w:t>附：</w:t>
      </w:r>
    </w:p>
    <w:p>
      <w:pPr>
        <w:pStyle w:val="7"/>
        <w:widowControl/>
        <w:jc w:val="center"/>
      </w:pPr>
      <w:r>
        <w:rPr>
          <w:rStyle w:val="10"/>
          <w:rFonts w:hint="eastAsia" w:ascii="宋体" w:hAnsi="宋体" w:eastAsia="宋体" w:cs="宋体"/>
          <w:sz w:val="21"/>
          <w:szCs w:val="21"/>
        </w:rPr>
        <w:t>残疾人福利性单位声明函（价格扣除适用，若有）</w:t>
      </w:r>
    </w:p>
    <w:p>
      <w:pPr>
        <w:pStyle w:val="7"/>
        <w:widowControl/>
      </w:pPr>
      <w:r>
        <w:rPr>
          <w:rStyle w:val="10"/>
          <w:rFonts w:hint="eastAsia" w:ascii="宋体" w:hAnsi="宋体" w:eastAsia="宋体" w:cs="宋体"/>
          <w:sz w:val="21"/>
          <w:szCs w:val="21"/>
        </w:rPr>
        <w:t> </w:t>
      </w:r>
    </w:p>
    <w:p>
      <w:pPr>
        <w:pStyle w:val="7"/>
        <w:widowControl/>
        <w:spacing w:before="75" w:beforeAutospacing="0" w:after="75" w:afterAutospacing="0"/>
        <w:ind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7"/>
        <w:widowControl/>
        <w:spacing w:before="75" w:beforeAutospacing="0" w:after="75" w:afterAutospacing="0"/>
        <w:ind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color="auto" w:fill="FFFFFF"/>
        </w:rPr>
        <w:t>★</w:t>
      </w:r>
      <w:r>
        <w:rPr>
          <w:rFonts w:hint="eastAsia" w:ascii="宋体" w:hAnsi="宋体" w:eastAsia="宋体" w:cs="宋体"/>
          <w:sz w:val="21"/>
          <w:szCs w:val="21"/>
        </w:rPr>
        <w:t>）</w:t>
      </w:r>
    </w:p>
    <w:p>
      <w:pPr>
        <w:pStyle w:val="7"/>
        <w:widowControl/>
        <w:spacing w:before="75" w:beforeAutospacing="0" w:after="75" w:afterAutospacing="0"/>
        <w:ind w:firstLine="420"/>
      </w:pPr>
      <w:r>
        <w:rPr>
          <w:rFonts w:hint="eastAsia" w:ascii="宋体" w:hAnsi="宋体" w:eastAsia="宋体" w:cs="宋体"/>
          <w:sz w:val="21"/>
          <w:szCs w:val="21"/>
        </w:rPr>
        <w:t>（ ）由本投标人承建的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工程</w:t>
      </w:r>
    </w:p>
    <w:p>
      <w:pPr>
        <w:pStyle w:val="7"/>
        <w:widowControl/>
        <w:spacing w:before="75" w:beforeAutospacing="0" w:after="75" w:afterAutospacing="0"/>
        <w:ind w:firstLine="420"/>
      </w:pPr>
      <w:r>
        <w:rPr>
          <w:rFonts w:hint="eastAsia" w:ascii="宋体" w:hAnsi="宋体" w:eastAsia="宋体" w:cs="宋体"/>
          <w:sz w:val="21"/>
          <w:szCs w:val="21"/>
        </w:rPr>
        <w:t>（ ）由本投标人承接的</w:t>
      </w:r>
      <w:r>
        <w:rPr>
          <w:rFonts w:hint="eastAsia" w:ascii="宋体" w:hAnsi="宋体" w:eastAsia="宋体" w:cs="宋体"/>
          <w:sz w:val="21"/>
          <w:szCs w:val="21"/>
          <w:u w:val="single"/>
        </w:rPr>
        <w:t>（填写“所投采购包、品目号”）</w:t>
      </w:r>
      <w:r>
        <w:rPr>
          <w:rFonts w:hint="eastAsia" w:ascii="宋体" w:hAnsi="宋体" w:eastAsia="宋体" w:cs="宋体"/>
          <w:sz w:val="21"/>
          <w:szCs w:val="21"/>
        </w:rPr>
        <w:t>服务；</w:t>
      </w:r>
    </w:p>
    <w:p>
      <w:pPr>
        <w:pStyle w:val="7"/>
        <w:widowControl/>
        <w:spacing w:before="75" w:beforeAutospacing="0" w:after="75" w:afterAutospacing="0"/>
        <w:ind w:firstLine="420"/>
      </w:pPr>
      <w:r>
        <w:rPr>
          <w:rFonts w:hint="eastAsia" w:ascii="宋体" w:hAnsi="宋体" w:eastAsia="宋体" w:cs="宋体"/>
          <w:sz w:val="21"/>
          <w:szCs w:val="21"/>
        </w:rPr>
        <w:t>本投标人对上述声明的真实性负责。如有虚假，将依法承担相应责任。</w:t>
      </w:r>
    </w:p>
    <w:p>
      <w:pPr>
        <w:pStyle w:val="7"/>
        <w:widowControl/>
        <w:spacing w:before="75" w:beforeAutospacing="0" w:after="75" w:afterAutospacing="0"/>
        <w:ind w:firstLine="420"/>
      </w:pPr>
      <w:r>
        <w:rPr>
          <w:rFonts w:ascii="Calibri" w:hAnsi="Calibri" w:cs="Calibri"/>
          <w:sz w:val="21"/>
          <w:szCs w:val="21"/>
        </w:rPr>
        <w:t> </w:t>
      </w:r>
    </w:p>
    <w:p>
      <w:pPr>
        <w:pStyle w:val="7"/>
        <w:widowControl/>
        <w:spacing w:before="75" w:beforeAutospacing="0" w:after="75" w:afterAutospacing="0"/>
      </w:pPr>
      <w:r>
        <w:rPr>
          <w:rFonts w:hint="eastAsia" w:ascii="宋体" w:hAnsi="宋体" w:eastAsia="宋体" w:cs="宋体"/>
          <w:sz w:val="21"/>
          <w:szCs w:val="21"/>
        </w:rPr>
        <w:t>备注：</w:t>
      </w:r>
    </w:p>
    <w:p>
      <w:pPr>
        <w:pStyle w:val="7"/>
        <w:widowControl/>
        <w:spacing w:before="75" w:beforeAutospacing="0" w:after="75" w:afterAutospacing="0"/>
      </w:pPr>
      <w:r>
        <w:rPr>
          <w:rFonts w:hint="eastAsia" w:ascii="宋体" w:hAnsi="宋体" w:eastAsia="宋体" w:cs="宋体"/>
          <w:sz w:val="21"/>
          <w:szCs w:val="21"/>
        </w:rPr>
        <w:t>1、请投标人按照实际情况编制填写本声明函，并在相应的（）中打“√”。</w:t>
      </w:r>
    </w:p>
    <w:p>
      <w:pPr>
        <w:pStyle w:val="7"/>
        <w:widowControl/>
        <w:spacing w:before="75" w:beforeAutospacing="0" w:after="75" w:afterAutospacing="0"/>
      </w:pPr>
      <w:r>
        <w:rPr>
          <w:rFonts w:hint="eastAsia" w:ascii="宋体" w:hAnsi="宋体" w:eastAsia="宋体" w:cs="宋体"/>
          <w:sz w:val="21"/>
          <w:szCs w:val="21"/>
        </w:rPr>
        <w:t>2、若《残疾人福利性单位声明函》内容不真实，</w:t>
      </w:r>
      <w:r>
        <w:rPr>
          <w:rStyle w:val="10"/>
          <w:rFonts w:hint="eastAsia" w:ascii="宋体" w:hAnsi="宋体" w:eastAsia="宋体" w:cs="宋体"/>
          <w:sz w:val="21"/>
          <w:szCs w:val="21"/>
        </w:rPr>
        <w:t>视为提供虚假材料。</w:t>
      </w:r>
    </w:p>
    <w:p>
      <w:pPr>
        <w:pStyle w:val="7"/>
        <w:widowControl/>
        <w:spacing w:before="75" w:beforeAutospacing="0" w:after="75" w:afterAutospacing="0"/>
      </w:pPr>
      <w:r>
        <w:rPr>
          <w:rFonts w:hint="eastAsia" w:ascii="宋体" w:hAnsi="宋体" w:eastAsia="宋体" w:cs="宋体"/>
          <w:sz w:val="21"/>
          <w:szCs w:val="21"/>
        </w:rPr>
        <w:t> </w:t>
      </w:r>
    </w:p>
    <w:p>
      <w:pPr>
        <w:pStyle w:val="7"/>
        <w:widowControl/>
        <w:spacing w:before="75" w:beforeAutospacing="0" w:after="75" w:afterAutospacing="0"/>
      </w:pPr>
      <w:r>
        <w:rPr>
          <w:rFonts w:ascii="Calibri" w:hAnsi="Calibri" w:cs="Calibri"/>
          <w:sz w:val="21"/>
          <w:szCs w:val="21"/>
        </w:rPr>
        <w:t> </w:t>
      </w:r>
    </w:p>
    <w:p>
      <w:pPr>
        <w:pStyle w:val="7"/>
        <w:widowControl/>
        <w:spacing w:before="75" w:beforeAutospacing="0" w:after="75"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spacing w:before="75" w:beforeAutospacing="0" w:after="240"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spacing w:beforeAutospacing="0" w:afterAutospacing="0"/>
        <w:ind w:firstLine="420"/>
        <w:rPr>
          <w:rFonts w:ascii="宋体" w:hAnsi="宋体" w:eastAsia="宋体" w:cs="宋体"/>
          <w:sz w:val="21"/>
          <w:szCs w:val="21"/>
        </w:rPr>
      </w:pPr>
    </w:p>
    <w:p>
      <w:pPr>
        <w:pStyle w:val="7"/>
        <w:widowControl/>
        <w:spacing w:beforeAutospacing="0" w:afterAutospacing="0"/>
        <w:ind w:firstLine="420"/>
        <w:rPr>
          <w:rFonts w:ascii="宋体" w:hAnsi="宋体" w:eastAsia="宋体" w:cs="宋体"/>
          <w:sz w:val="21"/>
          <w:szCs w:val="21"/>
        </w:rPr>
      </w:pPr>
    </w:p>
    <w:p>
      <w:pPr>
        <w:pStyle w:val="7"/>
        <w:widowControl/>
        <w:spacing w:beforeAutospacing="0" w:afterAutospacing="0"/>
        <w:ind w:firstLine="420"/>
        <w:rPr>
          <w:rFonts w:ascii="宋体" w:hAnsi="宋体" w:eastAsia="宋体" w:cs="宋体"/>
          <w:sz w:val="21"/>
          <w:szCs w:val="21"/>
        </w:rPr>
      </w:pPr>
    </w:p>
    <w:p>
      <w:pPr>
        <w:pStyle w:val="7"/>
        <w:widowControl/>
        <w:spacing w:beforeAutospacing="0" w:afterAutospacing="0"/>
        <w:ind w:firstLine="420"/>
      </w:pPr>
      <w:r>
        <w:rPr>
          <w:rFonts w:hint="eastAsia" w:ascii="宋体" w:hAnsi="宋体" w:eastAsia="宋体" w:cs="宋体"/>
          <w:sz w:val="21"/>
          <w:szCs w:val="21"/>
        </w:rPr>
        <w:t>附：</w:t>
      </w:r>
    </w:p>
    <w:p>
      <w:pPr>
        <w:pStyle w:val="7"/>
        <w:widowControl/>
        <w:spacing w:before="75" w:beforeAutospacing="0" w:after="75" w:afterAutospacing="0"/>
        <w:jc w:val="center"/>
      </w:pPr>
      <w:r>
        <w:rPr>
          <w:rStyle w:val="10"/>
          <w:rFonts w:hint="eastAsia" w:ascii="宋体" w:hAnsi="宋体" w:eastAsia="宋体" w:cs="宋体"/>
        </w:rPr>
        <w:t>监狱企业证明材料</w:t>
      </w:r>
    </w:p>
    <w:p>
      <w:pPr>
        <w:pStyle w:val="7"/>
        <w:widowControl/>
        <w:spacing w:before="75" w:beforeAutospacing="0" w:after="75" w:afterAutospacing="0"/>
        <w:jc w:val="center"/>
      </w:pPr>
      <w:r>
        <w:rPr>
          <w:rStyle w:val="10"/>
          <w:rFonts w:hint="eastAsia" w:ascii="宋体" w:hAnsi="宋体" w:eastAsia="宋体" w:cs="宋体"/>
        </w:rPr>
        <w:t> </w:t>
      </w:r>
    </w:p>
    <w:p>
      <w:pPr>
        <w:pStyle w:val="7"/>
        <w:widowControl/>
      </w:pPr>
      <w:r>
        <w:rPr>
          <w:rFonts w:hint="eastAsia" w:ascii="宋体" w:hAnsi="宋体" w:eastAsia="宋体" w:cs="宋体"/>
          <w:color w:val="000000"/>
        </w:rPr>
        <w:t>  投标人为监狱企业，提供本单位制造的货物（承接的服务），并在电子投标文件中提供省级以上监狱管理局、戒毒管理局（含新疆生产建设兵团）出具的属于监狱企业的证明文件。</w:t>
      </w:r>
    </w:p>
    <w:p>
      <w:pPr>
        <w:pStyle w:val="7"/>
        <w:widowControl/>
        <w:spacing w:before="75" w:beforeAutospacing="0" w:after="240" w:afterAutospacing="0"/>
      </w:pP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br w:type="textWrapping"/>
      </w:r>
    </w:p>
    <w:p>
      <w:pPr>
        <w:pStyle w:val="7"/>
        <w:widowControl/>
        <w:jc w:val="center"/>
      </w:pPr>
      <w:r>
        <w:rPr>
          <w:rFonts w:ascii="Calibri" w:hAnsi="Calibri" w:cs="Calibri"/>
          <w:sz w:val="21"/>
          <w:szCs w:val="21"/>
        </w:rPr>
        <w:br w:type="textWrapping"/>
      </w:r>
      <w:r>
        <w:rPr>
          <w:rStyle w:val="10"/>
          <w:rFonts w:hint="eastAsia" w:ascii="宋体" w:hAnsi="宋体" w:eastAsia="宋体" w:cs="宋体"/>
          <w:sz w:val="21"/>
          <w:szCs w:val="21"/>
        </w:rPr>
        <w:t>三-3招标文件规定的其他价格扣除证明材料（若有）</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 </w:t>
      </w:r>
    </w:p>
    <w:p>
      <w:pPr>
        <w:pStyle w:val="7"/>
        <w:widowControl/>
        <w:jc w:val="center"/>
      </w:pPr>
      <w:r>
        <w:rPr>
          <w:rFonts w:hint="eastAsia" w:ascii="宋体" w:hAnsi="宋体" w:eastAsia="宋体" w:cs="宋体"/>
          <w:sz w:val="21"/>
          <w:szCs w:val="21"/>
        </w:rPr>
        <w:t>编制说明</w:t>
      </w:r>
    </w:p>
    <w:p>
      <w:pPr>
        <w:pStyle w:val="7"/>
        <w:widowControl/>
        <w:jc w:val="center"/>
      </w:pPr>
      <w:r>
        <w:rPr>
          <w:rFonts w:hint="eastAsia" w:ascii="宋体" w:hAnsi="宋体" w:eastAsia="宋体" w:cs="宋体"/>
          <w:sz w:val="21"/>
          <w:szCs w:val="21"/>
        </w:rPr>
        <w:t> </w:t>
      </w:r>
    </w:p>
    <w:p>
      <w:pPr>
        <w:pStyle w:val="7"/>
        <w:widowControl/>
        <w:ind w:firstLine="420"/>
      </w:pPr>
      <w:r>
        <w:rPr>
          <w:rFonts w:hint="eastAsia" w:ascii="宋体" w:hAnsi="宋体" w:eastAsia="宋体" w:cs="宋体"/>
          <w:sz w:val="21"/>
          <w:szCs w:val="21"/>
        </w:rPr>
        <w:t>若投标人可享受招标文件规定的除</w:t>
      </w:r>
      <w:r>
        <w:rPr>
          <w:rStyle w:val="10"/>
          <w:rFonts w:hint="eastAsia" w:ascii="宋体" w:hAnsi="宋体" w:eastAsia="宋体" w:cs="宋体"/>
          <w:sz w:val="21"/>
          <w:szCs w:val="21"/>
        </w:rPr>
        <w:t>“节能（非强制类）、环境标志产品价格扣除”及“小型、微型企业产品等价格扣除”</w:t>
      </w:r>
      <w:r>
        <w:rPr>
          <w:rFonts w:hint="eastAsia" w:ascii="宋体" w:hAnsi="宋体" w:eastAsia="宋体" w:cs="宋体"/>
          <w:sz w:val="21"/>
          <w:szCs w:val="21"/>
        </w:rPr>
        <w:t>外的其他价格扣除优惠，则投标人应按照招标文件要求提供相应证明材料。</w:t>
      </w:r>
    </w:p>
    <w:p>
      <w:pPr>
        <w:pStyle w:val="7"/>
        <w:widowControl/>
      </w:pPr>
      <w:r>
        <w:rPr>
          <w:rFonts w:hint="eastAsia" w:ascii="宋体" w:hAnsi="宋体" w:eastAsia="宋体" w:cs="宋体"/>
          <w:sz w:val="21"/>
          <w:szCs w:val="21"/>
        </w:rPr>
        <w:t> </w:t>
      </w:r>
    </w:p>
    <w:p>
      <w:pPr>
        <w:pStyle w:val="7"/>
        <w:widowControl/>
        <w:spacing w:after="240" w:afterAutospacing="0"/>
        <w:rPr>
          <w:rFonts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sz w:val="21"/>
          <w:szCs w:val="21"/>
        </w:rPr>
        <w:br w:type="textWrapping"/>
      </w:r>
    </w:p>
    <w:p>
      <w:pPr>
        <w:pStyle w:val="7"/>
        <w:widowControl/>
        <w:spacing w:after="240" w:afterAutospacing="0"/>
        <w:rPr>
          <w:rFonts w:ascii="宋体" w:hAnsi="宋体" w:eastAsia="宋体" w:cs="宋体"/>
          <w:sz w:val="21"/>
          <w:szCs w:val="21"/>
        </w:rPr>
      </w:pPr>
    </w:p>
    <w:p>
      <w:pPr>
        <w:pStyle w:val="7"/>
        <w:widowControl/>
        <w:spacing w:after="240" w:afterAutospacing="0"/>
        <w:rPr>
          <w:rFonts w:ascii="宋体" w:hAnsi="宋体" w:eastAsia="宋体" w:cs="宋体"/>
          <w:sz w:val="21"/>
          <w:szCs w:val="21"/>
        </w:rPr>
      </w:pPr>
    </w:p>
    <w:p>
      <w:pPr>
        <w:pStyle w:val="7"/>
        <w:widowControl/>
        <w:spacing w:after="240" w:afterAutospacing="0"/>
        <w:rPr>
          <w:rFonts w:ascii="宋体" w:hAnsi="宋体" w:eastAsia="宋体" w:cs="宋体"/>
          <w:sz w:val="21"/>
          <w:szCs w:val="21"/>
        </w:rPr>
      </w:pPr>
    </w:p>
    <w:p>
      <w:pPr>
        <w:pStyle w:val="7"/>
        <w:widowControl/>
        <w:spacing w:after="240" w:afterAutospacing="0"/>
      </w:pP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br w:type="textWrapping"/>
      </w:r>
    </w:p>
    <w:p>
      <w:pPr>
        <w:pStyle w:val="7"/>
        <w:widowControl/>
        <w:jc w:val="center"/>
      </w:pPr>
      <w:r>
        <w:rPr>
          <w:rFonts w:ascii="Calibri" w:hAnsi="Calibri" w:cs="Calibri"/>
          <w:sz w:val="21"/>
          <w:szCs w:val="21"/>
        </w:rPr>
        <w:br w:type="textWrapping"/>
      </w:r>
      <w:r>
        <w:rPr>
          <w:rStyle w:val="10"/>
          <w:rFonts w:hint="eastAsia" w:ascii="宋体" w:hAnsi="宋体" w:eastAsia="宋体" w:cs="宋体"/>
          <w:sz w:val="21"/>
          <w:szCs w:val="21"/>
        </w:rPr>
        <w:t>四、招标文件规定的加分证明材料（若有）</w:t>
      </w:r>
    </w:p>
    <w:p>
      <w:pPr>
        <w:pStyle w:val="7"/>
        <w:widowControl/>
        <w:jc w:val="center"/>
      </w:pPr>
      <w:r>
        <w:rPr>
          <w:rStyle w:val="10"/>
          <w:rFonts w:hint="eastAsia" w:ascii="宋体" w:hAnsi="宋体" w:eastAsia="宋体" w:cs="宋体"/>
          <w:sz w:val="21"/>
          <w:szCs w:val="21"/>
        </w:rPr>
        <w:t>四-1优先类节能产品、环境标志产品加分证明材料（若有）</w:t>
      </w:r>
    </w:p>
    <w:p>
      <w:pPr>
        <w:pStyle w:val="7"/>
        <w:widowControl/>
        <w:jc w:val="center"/>
      </w:pPr>
      <w:r>
        <w:rPr>
          <w:rStyle w:val="10"/>
          <w:rFonts w:hint="eastAsia" w:ascii="宋体" w:hAnsi="宋体" w:eastAsia="宋体" w:cs="宋体"/>
          <w:sz w:val="21"/>
          <w:szCs w:val="21"/>
        </w:rPr>
        <w:t>四-1-①优先类节能产品、环境标志产品统计表（加分适用，若有）</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项目编号：</w:t>
      </w:r>
      <w:r>
        <w:rPr>
          <w:rFonts w:hint="eastAsia" w:ascii="宋体" w:hAnsi="宋体" w:eastAsia="宋体" w:cs="宋体"/>
          <w:sz w:val="21"/>
          <w:szCs w:val="21"/>
          <w:u w:val="single"/>
        </w:rPr>
        <w:t>                   </w:t>
      </w:r>
    </w:p>
    <w:p>
      <w:pPr>
        <w:pStyle w:val="7"/>
        <w:widowControl/>
        <w:jc w:val="right"/>
      </w:pPr>
      <w:r>
        <w:rPr>
          <w:rFonts w:hint="eastAsia" w:ascii="宋体" w:hAnsi="宋体" w:eastAsia="宋体" w:cs="宋体"/>
          <w:sz w:val="21"/>
          <w:szCs w:val="21"/>
        </w:rPr>
        <w:t>货币及单位：人民币元</w:t>
      </w:r>
    </w:p>
    <w:tbl>
      <w:tblPr>
        <w:tblStyle w:val="8"/>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219"/>
        <w:gridCol w:w="1215"/>
        <w:gridCol w:w="1209"/>
        <w:gridCol w:w="1221"/>
        <w:gridCol w:w="1209"/>
        <w:gridCol w:w="1222"/>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105" w:type="dxa"/>
              <w:bottom w:w="0" w:type="dxa"/>
              <w:right w:w="105" w:type="dxa"/>
            </w:tcMar>
            <w:vAlign w:val="center"/>
          </w:tcPr>
          <w:p>
            <w:pPr>
              <w:rPr>
                <w:rFonts w:ascii="宋体"/>
                <w:sz w:val="24"/>
              </w:rPr>
            </w:pPr>
          </w:p>
        </w:tc>
        <w:tc>
          <w:tcPr>
            <w:tcW w:w="7305" w:type="dxa"/>
            <w:gridSpan w:val="6"/>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本采购包内属于节能、环境标志产品的情况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15" w:type="dxa"/>
        </w:trPr>
        <w:tc>
          <w:tcPr>
            <w:tcW w:w="121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采购包</w:t>
            </w:r>
          </w:p>
        </w:tc>
        <w:tc>
          <w:tcPr>
            <w:tcW w:w="121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品目号</w:t>
            </w:r>
          </w:p>
        </w:tc>
        <w:tc>
          <w:tcPr>
            <w:tcW w:w="121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货物名称</w:t>
            </w:r>
          </w:p>
        </w:tc>
        <w:tc>
          <w:tcPr>
            <w:tcW w:w="121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单价</w:t>
            </w:r>
          </w:p>
          <w:p>
            <w:pPr>
              <w:pStyle w:val="7"/>
              <w:widowControl/>
              <w:jc w:val="center"/>
            </w:pPr>
            <w:r>
              <w:rPr>
                <w:rFonts w:hint="eastAsia" w:ascii="宋体" w:hAnsi="宋体" w:eastAsia="宋体" w:cs="宋体"/>
                <w:sz w:val="21"/>
                <w:szCs w:val="21"/>
              </w:rPr>
              <w:t>（现场）</w:t>
            </w:r>
          </w:p>
        </w:tc>
        <w:tc>
          <w:tcPr>
            <w:tcW w:w="121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数量</w:t>
            </w:r>
          </w:p>
        </w:tc>
        <w:tc>
          <w:tcPr>
            <w:tcW w:w="121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总价</w:t>
            </w:r>
          </w:p>
          <w:p>
            <w:pPr>
              <w:pStyle w:val="7"/>
              <w:widowControl/>
              <w:jc w:val="center"/>
            </w:pPr>
            <w:r>
              <w:rPr>
                <w:rFonts w:hint="eastAsia" w:ascii="宋体" w:hAnsi="宋体" w:eastAsia="宋体" w:cs="宋体"/>
                <w:sz w:val="21"/>
                <w:szCs w:val="21"/>
              </w:rPr>
              <w:t>（现场）</w:t>
            </w:r>
          </w:p>
        </w:tc>
        <w:tc>
          <w:tcPr>
            <w:tcW w:w="121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vMerge w:val="restart"/>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w:t>
            </w:r>
          </w:p>
        </w:tc>
        <w:tc>
          <w:tcPr>
            <w:tcW w:w="121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*-1</w:t>
            </w:r>
          </w:p>
        </w:tc>
        <w:tc>
          <w:tcPr>
            <w:tcW w:w="1215" w:type="dxa"/>
            <w:shd w:val="clear" w:color="auto" w:fill="auto"/>
            <w:tcMar>
              <w:top w:w="0" w:type="dxa"/>
              <w:left w:w="105" w:type="dxa"/>
              <w:bottom w:w="0" w:type="dxa"/>
              <w:right w:w="105" w:type="dxa"/>
            </w:tcMar>
            <w:vAlign w:val="center"/>
          </w:tcPr>
          <w:p>
            <w:pPr>
              <w:rPr>
                <w:rFonts w:ascii="宋体"/>
                <w:sz w:val="24"/>
              </w:rPr>
            </w:pPr>
          </w:p>
        </w:tc>
        <w:tc>
          <w:tcPr>
            <w:tcW w:w="1215" w:type="dxa"/>
            <w:shd w:val="clear" w:color="auto" w:fill="auto"/>
            <w:tcMar>
              <w:top w:w="0" w:type="dxa"/>
              <w:left w:w="105" w:type="dxa"/>
              <w:bottom w:w="0" w:type="dxa"/>
              <w:right w:w="105" w:type="dxa"/>
            </w:tcMar>
            <w:vAlign w:val="center"/>
          </w:tcPr>
          <w:p>
            <w:pPr>
              <w:rPr>
                <w:rFonts w:ascii="宋体"/>
                <w:sz w:val="24"/>
              </w:rPr>
            </w:pPr>
          </w:p>
        </w:tc>
        <w:tc>
          <w:tcPr>
            <w:tcW w:w="1215" w:type="dxa"/>
            <w:shd w:val="clear" w:color="auto" w:fill="auto"/>
            <w:tcMar>
              <w:top w:w="0" w:type="dxa"/>
              <w:left w:w="105" w:type="dxa"/>
              <w:bottom w:w="0" w:type="dxa"/>
              <w:right w:w="105" w:type="dxa"/>
            </w:tcMar>
            <w:vAlign w:val="center"/>
          </w:tcPr>
          <w:p>
            <w:pPr>
              <w:rPr>
                <w:rFonts w:ascii="宋体"/>
                <w:sz w:val="24"/>
              </w:rPr>
            </w:pPr>
          </w:p>
        </w:tc>
        <w:tc>
          <w:tcPr>
            <w:tcW w:w="1215" w:type="dxa"/>
            <w:shd w:val="clear" w:color="auto" w:fill="auto"/>
            <w:tcMar>
              <w:top w:w="0" w:type="dxa"/>
              <w:left w:w="105" w:type="dxa"/>
              <w:bottom w:w="0" w:type="dxa"/>
              <w:right w:w="105" w:type="dxa"/>
            </w:tcMar>
            <w:vAlign w:val="center"/>
          </w:tcPr>
          <w:p>
            <w:pPr>
              <w:rPr>
                <w:rFonts w:ascii="宋体"/>
                <w:sz w:val="24"/>
              </w:rPr>
            </w:pPr>
          </w:p>
        </w:tc>
        <w:tc>
          <w:tcPr>
            <w:tcW w:w="1215" w:type="dxa"/>
            <w:shd w:val="clear" w:color="auto" w:fill="auto"/>
            <w:tcMar>
              <w:top w:w="0" w:type="dxa"/>
              <w:left w:w="105" w:type="dxa"/>
              <w:bottom w:w="0" w:type="dxa"/>
              <w:right w:w="105" w:type="dxa"/>
            </w:tcMar>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vMerge w:val="continue"/>
            <w:shd w:val="clear" w:color="auto" w:fill="auto"/>
            <w:tcMar>
              <w:top w:w="0" w:type="dxa"/>
              <w:left w:w="105" w:type="dxa"/>
              <w:bottom w:w="0" w:type="dxa"/>
              <w:right w:w="105" w:type="dxa"/>
            </w:tcMar>
            <w:vAlign w:val="center"/>
          </w:tcPr>
          <w:p>
            <w:pPr>
              <w:rPr>
                <w:rFonts w:ascii="宋体"/>
                <w:sz w:val="24"/>
              </w:rPr>
            </w:pPr>
          </w:p>
        </w:tc>
        <w:tc>
          <w:tcPr>
            <w:tcW w:w="1215" w:type="dxa"/>
            <w:shd w:val="clear" w:color="auto" w:fill="auto"/>
            <w:tcMar>
              <w:top w:w="0" w:type="dxa"/>
              <w:left w:w="105" w:type="dxa"/>
              <w:bottom w:w="0" w:type="dxa"/>
              <w:right w:w="105" w:type="dxa"/>
            </w:tcMar>
            <w:vAlign w:val="center"/>
          </w:tcPr>
          <w:p>
            <w:pPr>
              <w:pStyle w:val="7"/>
              <w:widowControl/>
              <w:jc w:val="center"/>
            </w:pPr>
            <w:r>
              <w:rPr>
                <w:rFonts w:ascii="Calibri" w:hAnsi="Calibri" w:cs="Calibri"/>
                <w:sz w:val="21"/>
                <w:szCs w:val="21"/>
              </w:rPr>
              <w:t>…</w:t>
            </w:r>
          </w:p>
        </w:tc>
        <w:tc>
          <w:tcPr>
            <w:tcW w:w="1215" w:type="dxa"/>
            <w:shd w:val="clear" w:color="auto" w:fill="auto"/>
            <w:tcMar>
              <w:top w:w="0" w:type="dxa"/>
              <w:left w:w="105" w:type="dxa"/>
              <w:bottom w:w="0" w:type="dxa"/>
              <w:right w:w="105" w:type="dxa"/>
            </w:tcMar>
            <w:vAlign w:val="center"/>
          </w:tcPr>
          <w:p>
            <w:pPr>
              <w:rPr>
                <w:rFonts w:ascii="宋体"/>
                <w:sz w:val="24"/>
              </w:rPr>
            </w:pPr>
          </w:p>
        </w:tc>
        <w:tc>
          <w:tcPr>
            <w:tcW w:w="1215" w:type="dxa"/>
            <w:shd w:val="clear" w:color="auto" w:fill="auto"/>
            <w:tcMar>
              <w:top w:w="0" w:type="dxa"/>
              <w:left w:w="105" w:type="dxa"/>
              <w:bottom w:w="0" w:type="dxa"/>
              <w:right w:w="105" w:type="dxa"/>
            </w:tcMar>
            <w:vAlign w:val="center"/>
          </w:tcPr>
          <w:p>
            <w:pPr>
              <w:rPr>
                <w:rFonts w:ascii="宋体"/>
                <w:sz w:val="24"/>
              </w:rPr>
            </w:pPr>
          </w:p>
        </w:tc>
        <w:tc>
          <w:tcPr>
            <w:tcW w:w="1215" w:type="dxa"/>
            <w:shd w:val="clear" w:color="auto" w:fill="auto"/>
            <w:tcMar>
              <w:top w:w="0" w:type="dxa"/>
              <w:left w:w="105" w:type="dxa"/>
              <w:bottom w:w="0" w:type="dxa"/>
              <w:right w:w="105" w:type="dxa"/>
            </w:tcMar>
            <w:vAlign w:val="center"/>
          </w:tcPr>
          <w:p>
            <w:pPr>
              <w:rPr>
                <w:rFonts w:ascii="宋体"/>
                <w:sz w:val="24"/>
              </w:rPr>
            </w:pPr>
          </w:p>
        </w:tc>
        <w:tc>
          <w:tcPr>
            <w:tcW w:w="1215" w:type="dxa"/>
            <w:shd w:val="clear" w:color="auto" w:fill="auto"/>
            <w:tcMar>
              <w:top w:w="0" w:type="dxa"/>
              <w:left w:w="105" w:type="dxa"/>
              <w:bottom w:w="0" w:type="dxa"/>
              <w:right w:w="105" w:type="dxa"/>
            </w:tcMar>
            <w:vAlign w:val="center"/>
          </w:tcPr>
          <w:p>
            <w:pPr>
              <w:rPr>
                <w:rFonts w:ascii="宋体"/>
                <w:sz w:val="24"/>
              </w:rPr>
            </w:pPr>
          </w:p>
        </w:tc>
        <w:tc>
          <w:tcPr>
            <w:tcW w:w="1215" w:type="dxa"/>
            <w:shd w:val="clear" w:color="auto" w:fill="auto"/>
            <w:tcMar>
              <w:top w:w="0" w:type="dxa"/>
              <w:left w:w="105" w:type="dxa"/>
              <w:bottom w:w="0" w:type="dxa"/>
              <w:right w:w="105" w:type="dxa"/>
            </w:tcMar>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备注</w:t>
            </w:r>
          </w:p>
        </w:tc>
        <w:tc>
          <w:tcPr>
            <w:tcW w:w="7305" w:type="dxa"/>
            <w:gridSpan w:val="6"/>
            <w:shd w:val="clear" w:color="auto" w:fill="auto"/>
            <w:tcMar>
              <w:top w:w="0" w:type="dxa"/>
              <w:left w:w="105" w:type="dxa"/>
              <w:bottom w:w="0" w:type="dxa"/>
              <w:right w:w="105" w:type="dxa"/>
            </w:tcMar>
          </w:tcPr>
          <w:p>
            <w:pPr>
              <w:pStyle w:val="7"/>
              <w:widowControl/>
            </w:pPr>
            <w:r>
              <w:rPr>
                <w:rFonts w:hint="eastAsia" w:ascii="宋体" w:hAnsi="宋体" w:eastAsia="宋体" w:cs="宋体"/>
                <w:sz w:val="21"/>
                <w:szCs w:val="21"/>
              </w:rPr>
              <w:t>a.采购包内属于节能、环境标志产品的报价总金额：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7"/>
              <w:widowControl/>
            </w:pPr>
            <w:r>
              <w:rPr>
                <w:rFonts w:hint="eastAsia" w:ascii="宋体" w:hAnsi="宋体" w:eastAsia="宋体" w:cs="宋体"/>
                <w:sz w:val="21"/>
                <w:szCs w:val="21"/>
              </w:rPr>
              <w:t>b.采购包投标总价（报价总金额）：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7"/>
              <w:widowControl/>
            </w:pPr>
            <w:r>
              <w:rPr>
                <w:rFonts w:hint="eastAsia" w:ascii="宋体" w:hAnsi="宋体" w:eastAsia="宋体" w:cs="宋体"/>
                <w:sz w:val="21"/>
                <w:szCs w:val="21"/>
              </w:rPr>
              <w:t>c.“采购包内属于节能、环境标志产品的报价总金额”占“采购包投标总价（报价总金额）”的比例（以</w:t>
            </w:r>
            <w:r>
              <w:rPr>
                <w:rFonts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7"/>
        <w:widowControl/>
        <w:spacing w:beforeAutospacing="0" w:afterAutospacing="0"/>
        <w:rPr>
          <w:rFonts w:ascii="宋体" w:hAnsi="宋体" w:eastAsia="宋体" w:cs="宋体"/>
          <w:sz w:val="21"/>
          <w:szCs w:val="21"/>
        </w:rPr>
      </w:pPr>
    </w:p>
    <w:p>
      <w:pPr>
        <w:pStyle w:val="7"/>
        <w:widowControl/>
        <w:spacing w:beforeAutospacing="0" w:afterAutospacing="0"/>
      </w:pPr>
      <w:r>
        <w:rPr>
          <w:rFonts w:hint="eastAsia" w:ascii="宋体" w:hAnsi="宋体" w:eastAsia="宋体" w:cs="宋体"/>
          <w:sz w:val="21"/>
          <w:szCs w:val="21"/>
        </w:rPr>
        <w:t>※注意：</w:t>
      </w:r>
    </w:p>
    <w:p>
      <w:pPr>
        <w:pStyle w:val="7"/>
        <w:widowControl/>
        <w:spacing w:beforeAutospacing="0" w:afterAutospacing="0"/>
      </w:pPr>
      <w:r>
        <w:rPr>
          <w:rFonts w:hint="eastAsia" w:ascii="宋体" w:hAnsi="宋体" w:eastAsia="宋体" w:cs="宋体"/>
          <w:sz w:val="21"/>
          <w:szCs w:val="21"/>
        </w:rPr>
        <w:t>1、对节能、环境标志产品计算加分时，只依据电子投标文件</w:t>
      </w:r>
      <w:r>
        <w:rPr>
          <w:rStyle w:val="10"/>
          <w:rFonts w:hint="eastAsia" w:ascii="宋体" w:hAnsi="宋体" w:eastAsia="宋体" w:cs="宋体"/>
          <w:sz w:val="21"/>
          <w:szCs w:val="21"/>
        </w:rPr>
        <w:t>“四</w:t>
      </w:r>
      <w:r>
        <w:rPr>
          <w:rStyle w:val="10"/>
          <w:rFonts w:ascii="Calibri" w:hAnsi="Calibri" w:eastAsia="宋体" w:cs="Calibri"/>
          <w:sz w:val="21"/>
          <w:szCs w:val="21"/>
        </w:rPr>
        <w:t>-1-</w:t>
      </w:r>
      <w:r>
        <w:rPr>
          <w:rStyle w:val="10"/>
          <w:rFonts w:hint="eastAsia" w:ascii="宋体" w:hAnsi="宋体" w:eastAsia="宋体" w:cs="宋体"/>
          <w:sz w:val="21"/>
          <w:szCs w:val="21"/>
        </w:rPr>
        <w:t>②优先类节能产品、环境标志产品加分证明材料（加分适用，若有）”。</w:t>
      </w:r>
    </w:p>
    <w:p>
      <w:pPr>
        <w:pStyle w:val="7"/>
        <w:widowControl/>
        <w:spacing w:beforeAutospacing="0" w:afterAutospacing="0"/>
      </w:pPr>
      <w:r>
        <w:rPr>
          <w:rFonts w:hint="eastAsia" w:ascii="宋体" w:hAnsi="宋体" w:eastAsia="宋体" w:cs="宋体"/>
          <w:sz w:val="21"/>
          <w:szCs w:val="21"/>
        </w:rPr>
        <w:t>2、本表以采购包为单位，不同采购包请分别填写；同一采购包请按照其品目号顺序分别填写。</w:t>
      </w:r>
    </w:p>
    <w:p>
      <w:pPr>
        <w:pStyle w:val="7"/>
        <w:widowControl/>
        <w:spacing w:beforeAutospacing="0" w:afterAutospacing="0"/>
      </w:pPr>
      <w:r>
        <w:rPr>
          <w:rFonts w:hint="eastAsia" w:ascii="宋体" w:hAnsi="宋体" w:eastAsia="宋体" w:cs="宋体"/>
          <w:sz w:val="21"/>
          <w:szCs w:val="21"/>
        </w:rPr>
        <w:t>3、具体统计、计算：</w:t>
      </w:r>
    </w:p>
    <w:p>
      <w:pPr>
        <w:pStyle w:val="7"/>
        <w:widowControl/>
        <w:spacing w:beforeAutospacing="0" w:afterAutospacing="0"/>
      </w:pPr>
      <w:r>
        <w:rPr>
          <w:rFonts w:hint="eastAsia" w:ascii="宋体" w:hAnsi="宋体" w:eastAsia="宋体" w:cs="宋体"/>
          <w:sz w:val="21"/>
          <w:szCs w:val="21"/>
        </w:rPr>
        <w:t>3.1</w:t>
      </w:r>
      <w:r>
        <w:rPr>
          <w:rFonts w:ascii="Calibri" w:hAnsi="Calibri" w:cs="Calibri"/>
          <w:sz w:val="21"/>
          <w:szCs w:val="21"/>
        </w:rPr>
        <w:t> </w:t>
      </w:r>
      <w:r>
        <w:rPr>
          <w:rFonts w:hint="eastAsia" w:ascii="宋体" w:hAnsi="宋体" w:eastAsia="宋体" w:cs="宋体"/>
          <w:sz w:val="21"/>
          <w:szCs w:val="21"/>
        </w:rPr>
        <w:t>若节能、环境标志产品仅是构成投标产品的部件、组件或零件，则该投标产品不享受鼓励优惠政策。同一品目中各认证证书不重复计算加分。强制类节能产品不享受加分。</w:t>
      </w:r>
    </w:p>
    <w:p>
      <w:pPr>
        <w:pStyle w:val="7"/>
        <w:widowControl/>
        <w:spacing w:beforeAutospacing="0" w:afterAutospacing="0"/>
      </w:pPr>
      <w:r>
        <w:rPr>
          <w:rFonts w:hint="eastAsia" w:ascii="宋体" w:hAnsi="宋体" w:eastAsia="宋体" w:cs="宋体"/>
          <w:sz w:val="21"/>
          <w:szCs w:val="21"/>
        </w:rPr>
        <w:t>3.2计算结果若除不尽，可四舍五入保留到小数点后两位。</w:t>
      </w:r>
    </w:p>
    <w:p>
      <w:pPr>
        <w:pStyle w:val="7"/>
        <w:widowControl/>
        <w:spacing w:beforeAutospacing="0" w:afterAutospacing="0"/>
      </w:pPr>
      <w:r>
        <w:rPr>
          <w:rFonts w:hint="eastAsia" w:ascii="宋体" w:hAnsi="宋体" w:eastAsia="宋体" w:cs="宋体"/>
          <w:sz w:val="21"/>
          <w:szCs w:val="21"/>
        </w:rPr>
        <w:t>3.3投标人应按照招标文件要求认真统计、计算，否则评标委员会不予认定。</w:t>
      </w:r>
    </w:p>
    <w:p>
      <w:pPr>
        <w:pStyle w:val="7"/>
        <w:widowControl/>
        <w:spacing w:beforeAutospacing="0" w:afterAutospacing="0"/>
      </w:pPr>
      <w:r>
        <w:rPr>
          <w:rFonts w:hint="eastAsia" w:ascii="宋体" w:hAnsi="宋体" w:eastAsia="宋体" w:cs="宋体"/>
          <w:sz w:val="21"/>
          <w:szCs w:val="21"/>
        </w:rPr>
        <w:t>3.4若无节能、环境标志产品，不填写本表，否则，</w:t>
      </w:r>
      <w:r>
        <w:rPr>
          <w:rStyle w:val="10"/>
          <w:rFonts w:hint="eastAsia" w:ascii="宋体" w:hAnsi="宋体" w:eastAsia="宋体" w:cs="宋体"/>
          <w:sz w:val="21"/>
          <w:szCs w:val="21"/>
        </w:rPr>
        <w:t>视为提供虚假材料</w:t>
      </w:r>
      <w:r>
        <w:rPr>
          <w:rFonts w:hint="eastAsia" w:ascii="宋体" w:hAnsi="宋体" w:eastAsia="宋体" w:cs="宋体"/>
          <w:sz w:val="21"/>
          <w:szCs w:val="21"/>
        </w:rPr>
        <w:t>。</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pPr>
      <w:r>
        <w:rPr>
          <w:rStyle w:val="10"/>
          <w:rFonts w:hint="eastAsia" w:ascii="宋体" w:hAnsi="宋体" w:eastAsia="宋体" w:cs="宋体"/>
          <w:sz w:val="21"/>
          <w:szCs w:val="21"/>
        </w:rPr>
        <w:t> </w:t>
      </w:r>
    </w:p>
    <w:p>
      <w:pPr>
        <w:pStyle w:val="7"/>
        <w:widowControl/>
        <w:spacing w:after="240" w:afterAutospacing="0"/>
        <w:jc w:val="center"/>
      </w:pPr>
      <w:r>
        <w:rPr>
          <w:rStyle w:val="10"/>
          <w:rFonts w:hint="eastAsia" w:ascii="宋体" w:hAnsi="宋体" w:eastAsia="宋体" w:cs="宋体"/>
          <w:sz w:val="21"/>
          <w:szCs w:val="21"/>
        </w:rPr>
        <w:br w:type="textWrapping"/>
      </w:r>
      <w:r>
        <w:rPr>
          <w:rStyle w:val="10"/>
          <w:rFonts w:ascii="Calibri" w:hAnsi="Calibri" w:cs="Calibri"/>
          <w:sz w:val="21"/>
          <w:szCs w:val="21"/>
        </w:rPr>
        <w:br w:type="textWrapping"/>
      </w:r>
      <w:r>
        <w:rPr>
          <w:rStyle w:val="10"/>
          <w:rFonts w:hint="eastAsia" w:ascii="宋体" w:hAnsi="宋体" w:eastAsia="宋体" w:cs="宋体"/>
          <w:sz w:val="21"/>
          <w:szCs w:val="21"/>
        </w:rPr>
        <w:t>四-1-②优先类节能产品、环境标志产品证明材料（加分适用，若有）</w:t>
      </w:r>
    </w:p>
    <w:p>
      <w:pPr>
        <w:pStyle w:val="7"/>
        <w:widowControl/>
      </w:pPr>
      <w:r>
        <w:rPr>
          <w:rStyle w:val="10"/>
          <w:rFonts w:hint="eastAsia" w:ascii="宋体" w:hAnsi="宋体" w:eastAsia="宋体" w:cs="宋体"/>
          <w:sz w:val="21"/>
          <w:szCs w:val="21"/>
        </w:rPr>
        <w:t> </w:t>
      </w:r>
    </w:p>
    <w:p>
      <w:pPr>
        <w:pStyle w:val="7"/>
        <w:widowControl/>
      </w:pPr>
      <w:r>
        <w:rPr>
          <w:rStyle w:val="10"/>
          <w:rFonts w:hint="eastAsia" w:ascii="宋体" w:hAnsi="宋体" w:eastAsia="宋体" w:cs="宋体"/>
          <w:sz w:val="21"/>
          <w:szCs w:val="21"/>
        </w:rPr>
        <w:t> </w:t>
      </w:r>
    </w:p>
    <w:p>
      <w:pPr>
        <w:pStyle w:val="7"/>
        <w:widowControl/>
      </w:pPr>
      <w:r>
        <w:rPr>
          <w:rFonts w:hint="eastAsia" w:ascii="宋体" w:hAnsi="宋体" w:eastAsia="宋体" w:cs="宋体"/>
          <w:sz w:val="21"/>
          <w:szCs w:val="21"/>
        </w:rPr>
        <w:t> </w:t>
      </w:r>
    </w:p>
    <w:p>
      <w:pPr>
        <w:pStyle w:val="7"/>
        <w:widowControl/>
        <w:jc w:val="center"/>
      </w:pPr>
      <w:r>
        <w:rPr>
          <w:rFonts w:ascii="Calibri" w:hAnsi="Calibri" w:cs="Calibri"/>
          <w:sz w:val="21"/>
          <w:szCs w:val="21"/>
        </w:rPr>
        <w:br w:type="textWrapping"/>
      </w:r>
      <w:r>
        <w:rPr>
          <w:rFonts w:hint="eastAsia" w:ascii="宋体" w:hAnsi="宋体" w:eastAsia="宋体" w:cs="宋体"/>
          <w:sz w:val="21"/>
          <w:szCs w:val="21"/>
        </w:rPr>
        <w:t>四</w:t>
      </w:r>
      <w:r>
        <w:rPr>
          <w:rStyle w:val="10"/>
          <w:rFonts w:hint="eastAsia" w:ascii="宋体" w:hAnsi="宋体" w:eastAsia="宋体" w:cs="宋体"/>
          <w:sz w:val="21"/>
          <w:szCs w:val="21"/>
        </w:rPr>
        <w:t>-2招标文件规定的其他加分证明材料（若有）</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 </w:t>
      </w:r>
    </w:p>
    <w:p>
      <w:pPr>
        <w:pStyle w:val="7"/>
        <w:widowControl/>
        <w:jc w:val="center"/>
      </w:pPr>
      <w:r>
        <w:rPr>
          <w:rFonts w:hint="eastAsia" w:ascii="宋体" w:hAnsi="宋体" w:eastAsia="宋体" w:cs="宋体"/>
          <w:sz w:val="21"/>
          <w:szCs w:val="21"/>
        </w:rPr>
        <w:t>编制说明</w:t>
      </w:r>
    </w:p>
    <w:p>
      <w:pPr>
        <w:pStyle w:val="7"/>
        <w:widowControl/>
        <w:jc w:val="center"/>
      </w:pPr>
      <w:r>
        <w:rPr>
          <w:rFonts w:hint="eastAsia" w:ascii="宋体" w:hAnsi="宋体" w:eastAsia="宋体" w:cs="宋体"/>
          <w:sz w:val="21"/>
          <w:szCs w:val="21"/>
        </w:rPr>
        <w:t> </w:t>
      </w:r>
    </w:p>
    <w:p>
      <w:pPr>
        <w:pStyle w:val="7"/>
        <w:widowControl/>
        <w:ind w:firstLine="420"/>
      </w:pPr>
      <w:r>
        <w:rPr>
          <w:rFonts w:hint="eastAsia" w:ascii="宋体" w:hAnsi="宋体" w:eastAsia="宋体" w:cs="宋体"/>
          <w:sz w:val="21"/>
          <w:szCs w:val="21"/>
        </w:rPr>
        <w:t>若投标人可享受招标文件规定的除</w:t>
      </w:r>
      <w:r>
        <w:rPr>
          <w:rStyle w:val="10"/>
          <w:rFonts w:hint="eastAsia" w:ascii="宋体" w:hAnsi="宋体" w:eastAsia="宋体" w:cs="宋体"/>
          <w:sz w:val="21"/>
          <w:szCs w:val="21"/>
        </w:rPr>
        <w:t>“优先类节能产品、环境标志产品加分”</w:t>
      </w:r>
      <w:r>
        <w:rPr>
          <w:rFonts w:hint="eastAsia" w:ascii="宋体" w:hAnsi="宋体" w:eastAsia="宋体" w:cs="宋体"/>
          <w:sz w:val="21"/>
          <w:szCs w:val="21"/>
        </w:rPr>
        <w:t>外的其他加分优惠，则投标人应按照招标文件要求提供相应证明材料。</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 </w:t>
      </w:r>
    </w:p>
    <w:p>
      <w:pPr>
        <w:pStyle w:val="7"/>
        <w:widowControl/>
      </w:pPr>
    </w:p>
    <w:p>
      <w:pPr>
        <w:pStyle w:val="7"/>
        <w:widowControl/>
        <w:rPr>
          <w:rFonts w:ascii="宋体" w:hAnsi="宋体" w:eastAsia="宋体" w:cs="宋体"/>
          <w:sz w:val="21"/>
          <w:szCs w:val="21"/>
        </w:rPr>
      </w:pPr>
      <w:r>
        <w:rPr>
          <w:rFonts w:hint="eastAsia" w:ascii="宋体" w:hAnsi="宋体" w:eastAsia="宋体" w:cs="宋体"/>
          <w:sz w:val="21"/>
          <w:szCs w:val="21"/>
        </w:rPr>
        <w:t> </w:t>
      </w:r>
    </w:p>
    <w:p>
      <w:pPr>
        <w:pStyle w:val="7"/>
        <w:widowControl/>
        <w:rPr>
          <w:rFonts w:ascii="宋体" w:hAnsi="宋体" w:eastAsia="宋体" w:cs="宋体"/>
          <w:sz w:val="21"/>
          <w:szCs w:val="21"/>
        </w:rPr>
      </w:pPr>
    </w:p>
    <w:p>
      <w:pPr>
        <w:pStyle w:val="7"/>
        <w:widowControl/>
        <w:rPr>
          <w:rFonts w:ascii="宋体" w:hAnsi="宋体" w:eastAsia="宋体" w:cs="宋体"/>
          <w:sz w:val="21"/>
          <w:szCs w:val="21"/>
        </w:rPr>
      </w:pPr>
    </w:p>
    <w:p>
      <w:pPr>
        <w:pStyle w:val="7"/>
        <w:widowControl/>
        <w:rPr>
          <w:rFonts w:ascii="宋体" w:hAnsi="宋体" w:eastAsia="宋体" w:cs="宋体"/>
          <w:sz w:val="21"/>
          <w:szCs w:val="21"/>
        </w:rPr>
      </w:pPr>
    </w:p>
    <w:p>
      <w:pPr>
        <w:pStyle w:val="7"/>
        <w:widowControl/>
        <w:rPr>
          <w:rFonts w:ascii="宋体" w:hAnsi="宋体" w:eastAsia="宋体" w:cs="宋体"/>
          <w:sz w:val="21"/>
          <w:szCs w:val="21"/>
        </w:rPr>
      </w:pPr>
    </w:p>
    <w:p>
      <w:pPr>
        <w:pStyle w:val="7"/>
        <w:widowControl/>
        <w:rPr>
          <w:rFonts w:ascii="宋体" w:hAnsi="宋体" w:eastAsia="宋体" w:cs="宋体"/>
          <w:sz w:val="21"/>
          <w:szCs w:val="21"/>
        </w:rPr>
      </w:pPr>
    </w:p>
    <w:p>
      <w:pPr>
        <w:pStyle w:val="7"/>
        <w:widowControl/>
        <w:rPr>
          <w:rFonts w:ascii="宋体" w:hAnsi="宋体" w:eastAsia="宋体" w:cs="宋体"/>
          <w:sz w:val="21"/>
          <w:szCs w:val="21"/>
        </w:rPr>
      </w:pPr>
    </w:p>
    <w:p>
      <w:pPr>
        <w:pStyle w:val="7"/>
        <w:widowControl/>
      </w:pPr>
      <w:r>
        <w:rPr>
          <w:rFonts w:hint="eastAsia" w:ascii="宋体" w:hAnsi="宋体" w:eastAsia="宋体" w:cs="宋体"/>
          <w:sz w:val="21"/>
          <w:szCs w:val="21"/>
        </w:rPr>
        <w:t> </w:t>
      </w:r>
    </w:p>
    <w:p>
      <w:pPr>
        <w:pStyle w:val="7"/>
        <w:widowControl/>
        <w:jc w:val="center"/>
      </w:pPr>
      <w:r>
        <w:rPr>
          <w:rStyle w:val="10"/>
          <w:rFonts w:hint="eastAsia" w:ascii="宋体" w:hAnsi="宋体" w:eastAsia="宋体" w:cs="宋体"/>
          <w:sz w:val="28"/>
          <w:szCs w:val="28"/>
        </w:rPr>
        <w:t>封面格式</w:t>
      </w:r>
    </w:p>
    <w:p>
      <w:pPr>
        <w:pStyle w:val="7"/>
        <w:widowControl/>
      </w:pPr>
      <w:r>
        <w:rPr>
          <w:rFonts w:hint="eastAsia" w:ascii="宋体" w:hAnsi="宋体" w:eastAsia="宋体" w:cs="宋体"/>
          <w:sz w:val="36"/>
          <w:szCs w:val="36"/>
        </w:rPr>
        <w:t> </w:t>
      </w:r>
    </w:p>
    <w:p>
      <w:pPr>
        <w:pStyle w:val="7"/>
        <w:widowControl/>
        <w:jc w:val="center"/>
      </w:pPr>
      <w:r>
        <w:rPr>
          <w:rStyle w:val="10"/>
          <w:rFonts w:hint="eastAsia" w:ascii="宋体" w:hAnsi="宋体" w:eastAsia="宋体" w:cs="宋体"/>
          <w:sz w:val="48"/>
          <w:szCs w:val="48"/>
        </w:rPr>
        <w:t>福建省政府采购投标文件</w:t>
      </w:r>
    </w:p>
    <w:p>
      <w:pPr>
        <w:pStyle w:val="7"/>
        <w:widowControl/>
        <w:jc w:val="center"/>
      </w:pPr>
      <w:r>
        <w:rPr>
          <w:rStyle w:val="10"/>
          <w:rFonts w:hint="eastAsia" w:ascii="宋体" w:hAnsi="宋体" w:eastAsia="宋体" w:cs="宋体"/>
          <w:sz w:val="48"/>
          <w:szCs w:val="48"/>
        </w:rPr>
        <w:t>（技术商务部分）</w:t>
      </w:r>
    </w:p>
    <w:p>
      <w:pPr>
        <w:pStyle w:val="7"/>
        <w:widowControl/>
      </w:pPr>
      <w:r>
        <w:rPr>
          <w:rFonts w:hint="eastAsia" w:ascii="宋体" w:hAnsi="宋体" w:eastAsia="宋体" w:cs="宋体"/>
          <w:sz w:val="36"/>
          <w:szCs w:val="36"/>
        </w:rPr>
        <w:t> </w:t>
      </w:r>
    </w:p>
    <w:p>
      <w:pPr>
        <w:pStyle w:val="7"/>
        <w:widowControl/>
        <w:jc w:val="center"/>
      </w:pPr>
      <w:r>
        <w:rPr>
          <w:rStyle w:val="10"/>
          <w:rFonts w:hint="eastAsia" w:ascii="宋体" w:hAnsi="宋体" w:eastAsia="宋体" w:cs="宋体"/>
          <w:sz w:val="36"/>
          <w:szCs w:val="36"/>
          <w:u w:val="single"/>
        </w:rPr>
        <w:t>（填写正本或副本）</w:t>
      </w:r>
    </w:p>
    <w:p>
      <w:pPr>
        <w:pStyle w:val="7"/>
        <w:widowControl/>
      </w:pPr>
      <w:r>
        <w:rPr>
          <w:rFonts w:hint="eastAsia" w:ascii="宋体" w:hAnsi="宋体" w:eastAsia="宋体" w:cs="宋体"/>
          <w:sz w:val="36"/>
          <w:szCs w:val="36"/>
        </w:rPr>
        <w:t> </w:t>
      </w:r>
    </w:p>
    <w:p>
      <w:pPr>
        <w:pStyle w:val="7"/>
        <w:widowControl/>
        <w:ind w:firstLine="1920"/>
      </w:pPr>
      <w:r>
        <w:rPr>
          <w:rStyle w:val="10"/>
          <w:rFonts w:hint="eastAsia" w:ascii="宋体" w:hAnsi="宋体" w:eastAsia="宋体" w:cs="宋体"/>
          <w:sz w:val="31"/>
          <w:szCs w:val="31"/>
        </w:rPr>
        <w:t>项目名称：</w:t>
      </w:r>
      <w:r>
        <w:rPr>
          <w:rStyle w:val="10"/>
          <w:rFonts w:hint="eastAsia" w:ascii="宋体" w:hAnsi="宋体" w:eastAsia="宋体" w:cs="宋体"/>
          <w:sz w:val="31"/>
          <w:szCs w:val="31"/>
          <w:u w:val="single"/>
        </w:rPr>
        <w:t>（由投标人填写）</w:t>
      </w:r>
    </w:p>
    <w:p>
      <w:pPr>
        <w:pStyle w:val="7"/>
        <w:widowControl/>
        <w:ind w:firstLine="1920"/>
      </w:pPr>
      <w:r>
        <w:rPr>
          <w:rStyle w:val="10"/>
          <w:rFonts w:hint="eastAsia" w:ascii="宋体" w:hAnsi="宋体" w:eastAsia="宋体" w:cs="宋体"/>
          <w:sz w:val="31"/>
          <w:szCs w:val="31"/>
        </w:rPr>
        <w:t>备案编号：</w:t>
      </w:r>
      <w:r>
        <w:rPr>
          <w:rStyle w:val="10"/>
          <w:rFonts w:hint="eastAsia" w:ascii="宋体" w:hAnsi="宋体" w:eastAsia="宋体" w:cs="宋体"/>
          <w:sz w:val="31"/>
          <w:szCs w:val="31"/>
          <w:u w:val="single"/>
        </w:rPr>
        <w:t>（由投标人填写）</w:t>
      </w:r>
    </w:p>
    <w:p>
      <w:pPr>
        <w:pStyle w:val="7"/>
        <w:widowControl/>
        <w:ind w:firstLine="1920"/>
      </w:pPr>
      <w:r>
        <w:rPr>
          <w:rStyle w:val="10"/>
          <w:rFonts w:hint="eastAsia" w:ascii="宋体" w:hAnsi="宋体" w:eastAsia="宋体" w:cs="宋体"/>
          <w:sz w:val="31"/>
          <w:szCs w:val="31"/>
        </w:rPr>
        <w:t>项目编号：</w:t>
      </w:r>
      <w:r>
        <w:rPr>
          <w:rStyle w:val="10"/>
          <w:rFonts w:hint="eastAsia" w:ascii="宋体" w:hAnsi="宋体" w:eastAsia="宋体" w:cs="宋体"/>
          <w:sz w:val="31"/>
          <w:szCs w:val="31"/>
          <w:u w:val="single"/>
        </w:rPr>
        <w:t>（由投标人填写）</w:t>
      </w:r>
    </w:p>
    <w:p>
      <w:pPr>
        <w:pStyle w:val="7"/>
        <w:widowControl/>
        <w:ind w:firstLine="1920"/>
      </w:pPr>
      <w:r>
        <w:rPr>
          <w:rStyle w:val="10"/>
          <w:rFonts w:hint="eastAsia" w:ascii="宋体" w:hAnsi="宋体" w:eastAsia="宋体" w:cs="宋体"/>
          <w:sz w:val="31"/>
          <w:szCs w:val="31"/>
        </w:rPr>
        <w:t>所投采购包：</w:t>
      </w:r>
      <w:r>
        <w:rPr>
          <w:rStyle w:val="10"/>
          <w:rFonts w:hint="eastAsia" w:ascii="宋体" w:hAnsi="宋体" w:eastAsia="宋体" w:cs="宋体"/>
          <w:sz w:val="31"/>
          <w:szCs w:val="31"/>
          <w:u w:val="single"/>
        </w:rPr>
        <w:t>（由投标人填写）</w:t>
      </w:r>
    </w:p>
    <w:p>
      <w:pPr>
        <w:pStyle w:val="7"/>
        <w:widowControl/>
      </w:pPr>
      <w:r>
        <w:rPr>
          <w:rFonts w:hint="eastAsia" w:ascii="宋体" w:hAnsi="宋体" w:eastAsia="宋体" w:cs="宋体"/>
          <w:sz w:val="36"/>
          <w:szCs w:val="36"/>
        </w:rPr>
        <w:t> </w:t>
      </w:r>
    </w:p>
    <w:p>
      <w:pPr>
        <w:pStyle w:val="7"/>
        <w:widowControl/>
        <w:jc w:val="center"/>
      </w:pPr>
      <w:r>
        <w:rPr>
          <w:rStyle w:val="10"/>
          <w:rFonts w:hint="eastAsia" w:ascii="宋体" w:hAnsi="宋体" w:eastAsia="宋体" w:cs="宋体"/>
          <w:sz w:val="31"/>
          <w:szCs w:val="31"/>
        </w:rPr>
        <w:t>投标人：</w:t>
      </w:r>
      <w:r>
        <w:rPr>
          <w:rStyle w:val="10"/>
          <w:rFonts w:hint="eastAsia" w:ascii="宋体" w:hAnsi="宋体" w:eastAsia="宋体" w:cs="宋体"/>
          <w:sz w:val="31"/>
          <w:szCs w:val="31"/>
          <w:u w:val="single"/>
        </w:rPr>
        <w:t>（填写“全称”）</w:t>
      </w:r>
    </w:p>
    <w:p>
      <w:pPr>
        <w:pStyle w:val="7"/>
        <w:widowControl/>
        <w:jc w:val="center"/>
      </w:pPr>
      <w:r>
        <w:rPr>
          <w:rStyle w:val="10"/>
          <w:rFonts w:hint="eastAsia" w:ascii="宋体" w:hAnsi="宋体" w:eastAsia="宋体" w:cs="宋体"/>
          <w:sz w:val="31"/>
          <w:szCs w:val="31"/>
          <w:u w:val="single"/>
        </w:rPr>
        <w:t>（由投标人填写）</w:t>
      </w:r>
      <w:r>
        <w:rPr>
          <w:rStyle w:val="10"/>
          <w:rFonts w:hint="eastAsia" w:ascii="宋体" w:hAnsi="宋体" w:eastAsia="宋体" w:cs="宋体"/>
          <w:sz w:val="31"/>
          <w:szCs w:val="31"/>
        </w:rPr>
        <w:t>年</w:t>
      </w:r>
      <w:r>
        <w:rPr>
          <w:rStyle w:val="10"/>
          <w:rFonts w:hint="eastAsia" w:ascii="宋体" w:hAnsi="宋体" w:eastAsia="宋体" w:cs="宋体"/>
          <w:sz w:val="31"/>
          <w:szCs w:val="31"/>
          <w:u w:val="single"/>
        </w:rPr>
        <w:t>（由投标人填写）</w:t>
      </w:r>
      <w:r>
        <w:rPr>
          <w:rStyle w:val="10"/>
          <w:rFonts w:hint="eastAsia" w:ascii="宋体" w:hAnsi="宋体" w:eastAsia="宋体" w:cs="宋体"/>
          <w:sz w:val="31"/>
          <w:szCs w:val="31"/>
        </w:rPr>
        <w:t>月</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 </w:t>
      </w:r>
    </w:p>
    <w:p>
      <w:pPr>
        <w:pStyle w:val="7"/>
        <w:widowControl/>
        <w:jc w:val="center"/>
      </w:pPr>
      <w:r>
        <w:rPr>
          <w:rFonts w:ascii="Calibri" w:hAnsi="Calibri" w:cs="Calibri"/>
          <w:sz w:val="21"/>
          <w:szCs w:val="21"/>
        </w:rPr>
        <w:br w:type="textWrapping"/>
      </w:r>
      <w:r>
        <w:rPr>
          <w:rStyle w:val="10"/>
          <w:rFonts w:hint="eastAsia" w:ascii="宋体" w:hAnsi="宋体" w:eastAsia="宋体" w:cs="宋体"/>
          <w:sz w:val="28"/>
          <w:szCs w:val="28"/>
        </w:rPr>
        <w:t>索引</w:t>
      </w:r>
    </w:p>
    <w:p>
      <w:pPr>
        <w:pStyle w:val="7"/>
        <w:widowControl/>
      </w:pPr>
      <w:r>
        <w:rPr>
          <w:rFonts w:hint="eastAsia" w:ascii="宋体" w:hAnsi="宋体" w:eastAsia="宋体" w:cs="宋体"/>
          <w:sz w:val="28"/>
          <w:szCs w:val="28"/>
        </w:rPr>
        <w:t>一、标的说明一览表</w:t>
      </w:r>
    </w:p>
    <w:p>
      <w:pPr>
        <w:pStyle w:val="7"/>
        <w:widowControl/>
      </w:pPr>
      <w:r>
        <w:rPr>
          <w:rFonts w:hint="eastAsia" w:ascii="宋体" w:hAnsi="宋体" w:eastAsia="宋体" w:cs="宋体"/>
          <w:sz w:val="28"/>
          <w:szCs w:val="28"/>
        </w:rPr>
        <w:t>二、技术和服务要求响应表</w:t>
      </w:r>
    </w:p>
    <w:p>
      <w:pPr>
        <w:pStyle w:val="7"/>
        <w:widowControl/>
      </w:pPr>
      <w:r>
        <w:rPr>
          <w:rFonts w:hint="eastAsia" w:ascii="宋体" w:hAnsi="宋体" w:eastAsia="宋体" w:cs="宋体"/>
          <w:sz w:val="28"/>
          <w:szCs w:val="28"/>
        </w:rPr>
        <w:t>三、商务条件响应表</w:t>
      </w:r>
    </w:p>
    <w:p>
      <w:pPr>
        <w:pStyle w:val="7"/>
        <w:widowControl/>
      </w:pPr>
      <w:r>
        <w:rPr>
          <w:rFonts w:hint="eastAsia" w:ascii="宋体" w:hAnsi="宋体" w:eastAsia="宋体" w:cs="宋体"/>
          <w:sz w:val="28"/>
          <w:szCs w:val="28"/>
        </w:rPr>
        <w:t>四、投标人提交的其他资料（若有）</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 </w:t>
      </w:r>
    </w:p>
    <w:p>
      <w:pPr>
        <w:pStyle w:val="7"/>
        <w:widowControl/>
        <w:jc w:val="center"/>
      </w:pPr>
      <w:r>
        <w:rPr>
          <w:rFonts w:hint="eastAsia" w:ascii="宋体" w:hAnsi="宋体" w:eastAsia="宋体" w:cs="宋体"/>
          <w:sz w:val="21"/>
          <w:szCs w:val="21"/>
        </w:rPr>
        <w:t>※注意</w:t>
      </w:r>
    </w:p>
    <w:p>
      <w:pPr>
        <w:pStyle w:val="7"/>
        <w:widowControl/>
        <w:ind w:firstLine="420"/>
      </w:pPr>
      <w:r>
        <w:rPr>
          <w:rFonts w:hint="eastAsia" w:ascii="宋体" w:hAnsi="宋体" w:eastAsia="宋体" w:cs="宋体"/>
          <w:sz w:val="21"/>
          <w:szCs w:val="21"/>
        </w:rPr>
        <w:t>技术商务部分中不得出现报价部分的全部或部分的投标报价信息（或组成资料），否则</w:t>
      </w:r>
      <w:r>
        <w:rPr>
          <w:rStyle w:val="10"/>
          <w:rFonts w:hint="eastAsia" w:ascii="宋体" w:hAnsi="宋体" w:eastAsia="宋体" w:cs="宋体"/>
          <w:sz w:val="21"/>
          <w:szCs w:val="21"/>
        </w:rPr>
        <w:t>符合性审查不合格</w:t>
      </w:r>
      <w:r>
        <w:rPr>
          <w:rFonts w:hint="eastAsia" w:ascii="宋体" w:hAnsi="宋体" w:eastAsia="宋体" w:cs="宋体"/>
          <w:sz w:val="21"/>
          <w:szCs w:val="21"/>
        </w:rPr>
        <w:t>。</w:t>
      </w:r>
    </w:p>
    <w:p>
      <w:pPr>
        <w:pStyle w:val="7"/>
        <w:widowControl/>
        <w:ind w:firstLine="420"/>
      </w:pPr>
      <w:r>
        <w:rPr>
          <w:rFonts w:hint="eastAsia" w:ascii="宋体" w:hAnsi="宋体" w:eastAsia="宋体" w:cs="宋体"/>
          <w:sz w:val="21"/>
          <w:szCs w:val="21"/>
        </w:rPr>
        <w:t> </w:t>
      </w:r>
    </w:p>
    <w:p>
      <w:pPr>
        <w:pStyle w:val="7"/>
        <w:widowControl/>
        <w:ind w:firstLine="420"/>
        <w:rPr>
          <w:rFonts w:ascii="宋体" w:hAnsi="宋体" w:eastAsia="宋体" w:cs="宋体"/>
          <w:sz w:val="21"/>
          <w:szCs w:val="21"/>
        </w:rPr>
      </w:pPr>
      <w:r>
        <w:rPr>
          <w:rFonts w:hint="eastAsia" w:ascii="宋体" w:hAnsi="宋体" w:eastAsia="宋体" w:cs="宋体"/>
          <w:sz w:val="21"/>
          <w:szCs w:val="21"/>
        </w:rPr>
        <w:t> </w:t>
      </w:r>
    </w:p>
    <w:p>
      <w:pPr>
        <w:pStyle w:val="7"/>
        <w:widowControl/>
        <w:ind w:firstLine="420"/>
        <w:rPr>
          <w:rFonts w:ascii="宋体" w:hAnsi="宋体" w:eastAsia="宋体" w:cs="宋体"/>
          <w:sz w:val="21"/>
          <w:szCs w:val="21"/>
        </w:rPr>
      </w:pPr>
    </w:p>
    <w:p>
      <w:pPr>
        <w:pStyle w:val="7"/>
        <w:widowControl/>
        <w:ind w:firstLine="420"/>
        <w:rPr>
          <w:rFonts w:ascii="宋体" w:hAnsi="宋体" w:eastAsia="宋体" w:cs="宋体"/>
          <w:sz w:val="21"/>
          <w:szCs w:val="21"/>
        </w:rPr>
      </w:pPr>
    </w:p>
    <w:p>
      <w:pPr>
        <w:pStyle w:val="7"/>
        <w:widowControl/>
        <w:ind w:firstLine="420"/>
        <w:rPr>
          <w:rFonts w:ascii="宋体" w:hAnsi="宋体" w:eastAsia="宋体" w:cs="宋体"/>
          <w:sz w:val="21"/>
          <w:szCs w:val="21"/>
        </w:rPr>
      </w:pPr>
    </w:p>
    <w:p>
      <w:pPr>
        <w:pStyle w:val="7"/>
        <w:widowControl/>
        <w:ind w:firstLine="420"/>
        <w:rPr>
          <w:rFonts w:ascii="宋体" w:hAnsi="宋体" w:eastAsia="宋体" w:cs="宋体"/>
          <w:sz w:val="21"/>
          <w:szCs w:val="21"/>
        </w:rPr>
      </w:pPr>
    </w:p>
    <w:p>
      <w:pPr>
        <w:pStyle w:val="7"/>
        <w:widowControl/>
        <w:ind w:firstLine="420"/>
        <w:rPr>
          <w:rFonts w:ascii="宋体" w:hAnsi="宋体" w:eastAsia="宋体" w:cs="宋体"/>
          <w:sz w:val="21"/>
          <w:szCs w:val="21"/>
        </w:rPr>
      </w:pPr>
    </w:p>
    <w:p>
      <w:pPr>
        <w:pStyle w:val="7"/>
        <w:widowControl/>
        <w:ind w:firstLine="420"/>
        <w:rPr>
          <w:rFonts w:ascii="宋体" w:hAnsi="宋体" w:eastAsia="宋体" w:cs="宋体"/>
          <w:sz w:val="21"/>
          <w:szCs w:val="21"/>
        </w:rPr>
      </w:pPr>
    </w:p>
    <w:p>
      <w:pPr>
        <w:pStyle w:val="7"/>
        <w:widowControl/>
        <w:ind w:firstLine="420"/>
        <w:rPr>
          <w:rFonts w:ascii="宋体" w:hAnsi="宋体" w:eastAsia="宋体" w:cs="宋体"/>
          <w:sz w:val="21"/>
          <w:szCs w:val="21"/>
        </w:rPr>
      </w:pPr>
    </w:p>
    <w:p>
      <w:pPr>
        <w:pStyle w:val="7"/>
        <w:widowControl/>
        <w:ind w:firstLine="420"/>
        <w:rPr>
          <w:rFonts w:ascii="宋体" w:hAnsi="宋体" w:eastAsia="宋体" w:cs="宋体"/>
          <w:sz w:val="21"/>
          <w:szCs w:val="21"/>
        </w:rPr>
      </w:pPr>
    </w:p>
    <w:p>
      <w:pPr>
        <w:pStyle w:val="7"/>
        <w:widowControl/>
        <w:jc w:val="center"/>
      </w:pPr>
      <w:r>
        <w:rPr>
          <w:rFonts w:ascii="Calibri" w:hAnsi="Calibri" w:cs="Calibri"/>
          <w:sz w:val="21"/>
          <w:szCs w:val="21"/>
        </w:rPr>
        <w:br w:type="textWrapping"/>
      </w:r>
      <w:r>
        <w:rPr>
          <w:rStyle w:val="10"/>
          <w:rFonts w:hint="eastAsia" w:ascii="宋体" w:hAnsi="宋体" w:eastAsia="宋体" w:cs="宋体"/>
          <w:sz w:val="21"/>
          <w:szCs w:val="21"/>
        </w:rPr>
        <w:t>一、标的说明一览表</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项目编号：</w:t>
      </w:r>
      <w:r>
        <w:rPr>
          <w:rFonts w:hint="eastAsia" w:ascii="宋体" w:hAnsi="宋体" w:eastAsia="宋体" w:cs="宋体"/>
          <w:sz w:val="21"/>
          <w:szCs w:val="21"/>
          <w:u w:val="single"/>
        </w:rPr>
        <w:t>                   </w:t>
      </w:r>
    </w:p>
    <w:tbl>
      <w:tblPr>
        <w:tblStyle w:val="8"/>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79"/>
        <w:gridCol w:w="870"/>
        <w:gridCol w:w="1663"/>
        <w:gridCol w:w="864"/>
        <w:gridCol w:w="1146"/>
        <w:gridCol w:w="1135"/>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0"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采购包</w:t>
            </w:r>
          </w:p>
        </w:tc>
        <w:tc>
          <w:tcPr>
            <w:tcW w:w="85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品目号</w:t>
            </w:r>
          </w:p>
        </w:tc>
        <w:tc>
          <w:tcPr>
            <w:tcW w:w="169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投标标的</w:t>
            </w:r>
          </w:p>
        </w:tc>
        <w:tc>
          <w:tcPr>
            <w:tcW w:w="85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数量</w:t>
            </w:r>
          </w:p>
        </w:tc>
        <w:tc>
          <w:tcPr>
            <w:tcW w:w="1140"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规格（品牌/型号）</w:t>
            </w:r>
          </w:p>
        </w:tc>
        <w:tc>
          <w:tcPr>
            <w:tcW w:w="1140"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来源地</w:t>
            </w:r>
          </w:p>
        </w:tc>
        <w:tc>
          <w:tcPr>
            <w:tcW w:w="1890"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0" w:type="dxa"/>
            <w:vMerge w:val="restart"/>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w:t>
            </w:r>
          </w:p>
        </w:tc>
        <w:tc>
          <w:tcPr>
            <w:tcW w:w="85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*-1</w:t>
            </w:r>
          </w:p>
        </w:tc>
        <w:tc>
          <w:tcPr>
            <w:tcW w:w="1695" w:type="dxa"/>
            <w:shd w:val="clear" w:color="auto" w:fill="auto"/>
            <w:tcMar>
              <w:top w:w="0" w:type="dxa"/>
              <w:left w:w="105" w:type="dxa"/>
              <w:bottom w:w="0" w:type="dxa"/>
              <w:right w:w="105" w:type="dxa"/>
            </w:tcMar>
          </w:tcPr>
          <w:p>
            <w:pPr>
              <w:rPr>
                <w:rFonts w:ascii="宋体"/>
                <w:sz w:val="24"/>
              </w:rPr>
            </w:pPr>
          </w:p>
        </w:tc>
        <w:tc>
          <w:tcPr>
            <w:tcW w:w="855" w:type="dxa"/>
            <w:shd w:val="clear" w:color="auto" w:fill="auto"/>
            <w:tcMar>
              <w:top w:w="0" w:type="dxa"/>
              <w:left w:w="105" w:type="dxa"/>
              <w:bottom w:w="0" w:type="dxa"/>
              <w:right w:w="105" w:type="dxa"/>
            </w:tcMar>
          </w:tcPr>
          <w:p>
            <w:pPr>
              <w:rPr>
                <w:rFonts w:ascii="宋体"/>
                <w:sz w:val="24"/>
              </w:rPr>
            </w:pPr>
          </w:p>
        </w:tc>
        <w:tc>
          <w:tcPr>
            <w:tcW w:w="1140" w:type="dxa"/>
            <w:shd w:val="clear" w:color="auto" w:fill="auto"/>
            <w:tcMar>
              <w:top w:w="0" w:type="dxa"/>
              <w:left w:w="105" w:type="dxa"/>
              <w:bottom w:w="0" w:type="dxa"/>
              <w:right w:w="105" w:type="dxa"/>
            </w:tcMar>
          </w:tcPr>
          <w:p>
            <w:pPr>
              <w:rPr>
                <w:rFonts w:ascii="宋体"/>
                <w:sz w:val="24"/>
              </w:rPr>
            </w:pPr>
          </w:p>
        </w:tc>
        <w:tc>
          <w:tcPr>
            <w:tcW w:w="1140" w:type="dxa"/>
            <w:shd w:val="clear" w:color="auto" w:fill="auto"/>
            <w:tcMar>
              <w:top w:w="0" w:type="dxa"/>
              <w:left w:w="105" w:type="dxa"/>
              <w:bottom w:w="0" w:type="dxa"/>
              <w:right w:w="105" w:type="dxa"/>
            </w:tcMar>
          </w:tcPr>
          <w:p>
            <w:pPr>
              <w:rPr>
                <w:rFonts w:ascii="宋体"/>
                <w:sz w:val="24"/>
              </w:rPr>
            </w:pPr>
          </w:p>
        </w:tc>
        <w:tc>
          <w:tcPr>
            <w:tcW w:w="1890" w:type="dxa"/>
            <w:shd w:val="clear" w:color="auto" w:fill="auto"/>
            <w:tcMar>
              <w:top w:w="0" w:type="dxa"/>
              <w:left w:w="105" w:type="dxa"/>
              <w:bottom w:w="0" w:type="dxa"/>
              <w:right w:w="105" w:type="dxa"/>
            </w:tcMa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0" w:type="dxa"/>
            <w:vMerge w:val="continue"/>
            <w:shd w:val="clear" w:color="auto" w:fill="auto"/>
            <w:tcMar>
              <w:top w:w="0" w:type="dxa"/>
              <w:left w:w="105" w:type="dxa"/>
              <w:bottom w:w="0" w:type="dxa"/>
              <w:right w:w="105" w:type="dxa"/>
            </w:tcMar>
            <w:vAlign w:val="center"/>
          </w:tcPr>
          <w:p>
            <w:pPr>
              <w:rPr>
                <w:rFonts w:ascii="宋体"/>
                <w:sz w:val="24"/>
              </w:rPr>
            </w:pPr>
          </w:p>
        </w:tc>
        <w:tc>
          <w:tcPr>
            <w:tcW w:w="855" w:type="dxa"/>
            <w:shd w:val="clear" w:color="auto" w:fill="auto"/>
            <w:tcMar>
              <w:top w:w="0" w:type="dxa"/>
              <w:left w:w="105" w:type="dxa"/>
              <w:bottom w:w="0" w:type="dxa"/>
              <w:right w:w="105" w:type="dxa"/>
            </w:tcMar>
            <w:vAlign w:val="center"/>
          </w:tcPr>
          <w:p>
            <w:pPr>
              <w:pStyle w:val="7"/>
              <w:widowControl/>
              <w:jc w:val="center"/>
            </w:pPr>
            <w:r>
              <w:rPr>
                <w:rFonts w:ascii="Calibri" w:hAnsi="Calibri" w:cs="Calibri"/>
                <w:sz w:val="21"/>
                <w:szCs w:val="21"/>
              </w:rPr>
              <w:t>…</w:t>
            </w:r>
          </w:p>
        </w:tc>
        <w:tc>
          <w:tcPr>
            <w:tcW w:w="1695" w:type="dxa"/>
            <w:shd w:val="clear" w:color="auto" w:fill="auto"/>
            <w:tcMar>
              <w:top w:w="0" w:type="dxa"/>
              <w:left w:w="105" w:type="dxa"/>
              <w:bottom w:w="0" w:type="dxa"/>
              <w:right w:w="105" w:type="dxa"/>
            </w:tcMar>
          </w:tcPr>
          <w:p>
            <w:pPr>
              <w:rPr>
                <w:rFonts w:ascii="宋体"/>
                <w:sz w:val="24"/>
              </w:rPr>
            </w:pPr>
          </w:p>
        </w:tc>
        <w:tc>
          <w:tcPr>
            <w:tcW w:w="855" w:type="dxa"/>
            <w:shd w:val="clear" w:color="auto" w:fill="auto"/>
            <w:tcMar>
              <w:top w:w="0" w:type="dxa"/>
              <w:left w:w="105" w:type="dxa"/>
              <w:bottom w:w="0" w:type="dxa"/>
              <w:right w:w="105" w:type="dxa"/>
            </w:tcMar>
          </w:tcPr>
          <w:p>
            <w:pPr>
              <w:rPr>
                <w:rFonts w:ascii="宋体"/>
                <w:sz w:val="24"/>
              </w:rPr>
            </w:pPr>
          </w:p>
        </w:tc>
        <w:tc>
          <w:tcPr>
            <w:tcW w:w="1140" w:type="dxa"/>
            <w:shd w:val="clear" w:color="auto" w:fill="auto"/>
            <w:tcMar>
              <w:top w:w="0" w:type="dxa"/>
              <w:left w:w="105" w:type="dxa"/>
              <w:bottom w:w="0" w:type="dxa"/>
              <w:right w:w="105" w:type="dxa"/>
            </w:tcMar>
          </w:tcPr>
          <w:p>
            <w:pPr>
              <w:rPr>
                <w:rFonts w:ascii="宋体"/>
                <w:sz w:val="24"/>
              </w:rPr>
            </w:pPr>
          </w:p>
        </w:tc>
        <w:tc>
          <w:tcPr>
            <w:tcW w:w="1140" w:type="dxa"/>
            <w:shd w:val="clear" w:color="auto" w:fill="auto"/>
            <w:tcMar>
              <w:top w:w="0" w:type="dxa"/>
              <w:left w:w="105" w:type="dxa"/>
              <w:bottom w:w="0" w:type="dxa"/>
              <w:right w:w="105" w:type="dxa"/>
            </w:tcMar>
          </w:tcPr>
          <w:p>
            <w:pPr>
              <w:rPr>
                <w:rFonts w:ascii="宋体"/>
                <w:sz w:val="24"/>
              </w:rPr>
            </w:pPr>
          </w:p>
        </w:tc>
        <w:tc>
          <w:tcPr>
            <w:tcW w:w="1890" w:type="dxa"/>
            <w:shd w:val="clear" w:color="auto" w:fill="auto"/>
            <w:tcMar>
              <w:top w:w="0" w:type="dxa"/>
              <w:left w:w="105" w:type="dxa"/>
              <w:bottom w:w="0" w:type="dxa"/>
              <w:right w:w="105" w:type="dxa"/>
            </w:tcMa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0" w:type="dxa"/>
            <w:shd w:val="clear" w:color="auto" w:fill="auto"/>
            <w:tcMar>
              <w:top w:w="0" w:type="dxa"/>
              <w:left w:w="105" w:type="dxa"/>
              <w:bottom w:w="0" w:type="dxa"/>
              <w:right w:w="105" w:type="dxa"/>
            </w:tcMar>
            <w:vAlign w:val="center"/>
          </w:tcPr>
          <w:p>
            <w:pPr>
              <w:pStyle w:val="7"/>
              <w:widowControl/>
              <w:jc w:val="center"/>
            </w:pPr>
            <w:r>
              <w:rPr>
                <w:rFonts w:ascii="Calibri" w:hAnsi="Calibri" w:cs="Calibri"/>
                <w:sz w:val="21"/>
                <w:szCs w:val="21"/>
              </w:rPr>
              <w:t>…</w:t>
            </w:r>
          </w:p>
        </w:tc>
        <w:tc>
          <w:tcPr>
            <w:tcW w:w="855" w:type="dxa"/>
            <w:shd w:val="clear" w:color="auto" w:fill="auto"/>
            <w:tcMar>
              <w:top w:w="0" w:type="dxa"/>
              <w:left w:w="105" w:type="dxa"/>
              <w:bottom w:w="0" w:type="dxa"/>
              <w:right w:w="105" w:type="dxa"/>
            </w:tcMar>
            <w:vAlign w:val="center"/>
          </w:tcPr>
          <w:p>
            <w:pPr>
              <w:rPr>
                <w:rFonts w:ascii="宋体"/>
                <w:sz w:val="24"/>
              </w:rPr>
            </w:pPr>
          </w:p>
        </w:tc>
        <w:tc>
          <w:tcPr>
            <w:tcW w:w="1695" w:type="dxa"/>
            <w:shd w:val="clear" w:color="auto" w:fill="auto"/>
            <w:tcMar>
              <w:top w:w="0" w:type="dxa"/>
              <w:left w:w="105" w:type="dxa"/>
              <w:bottom w:w="0" w:type="dxa"/>
              <w:right w:w="105" w:type="dxa"/>
            </w:tcMar>
          </w:tcPr>
          <w:p>
            <w:pPr>
              <w:rPr>
                <w:rFonts w:ascii="宋体"/>
                <w:sz w:val="24"/>
              </w:rPr>
            </w:pPr>
          </w:p>
        </w:tc>
        <w:tc>
          <w:tcPr>
            <w:tcW w:w="855" w:type="dxa"/>
            <w:shd w:val="clear" w:color="auto" w:fill="auto"/>
            <w:tcMar>
              <w:top w:w="0" w:type="dxa"/>
              <w:left w:w="105" w:type="dxa"/>
              <w:bottom w:w="0" w:type="dxa"/>
              <w:right w:w="105" w:type="dxa"/>
            </w:tcMar>
          </w:tcPr>
          <w:p>
            <w:pPr>
              <w:rPr>
                <w:rFonts w:ascii="宋体"/>
                <w:sz w:val="24"/>
              </w:rPr>
            </w:pPr>
          </w:p>
        </w:tc>
        <w:tc>
          <w:tcPr>
            <w:tcW w:w="1140" w:type="dxa"/>
            <w:shd w:val="clear" w:color="auto" w:fill="auto"/>
            <w:tcMar>
              <w:top w:w="0" w:type="dxa"/>
              <w:left w:w="105" w:type="dxa"/>
              <w:bottom w:w="0" w:type="dxa"/>
              <w:right w:w="105" w:type="dxa"/>
            </w:tcMar>
          </w:tcPr>
          <w:p>
            <w:pPr>
              <w:rPr>
                <w:rFonts w:ascii="宋体"/>
                <w:sz w:val="24"/>
              </w:rPr>
            </w:pPr>
          </w:p>
        </w:tc>
        <w:tc>
          <w:tcPr>
            <w:tcW w:w="1140" w:type="dxa"/>
            <w:shd w:val="clear" w:color="auto" w:fill="auto"/>
            <w:tcMar>
              <w:top w:w="0" w:type="dxa"/>
              <w:left w:w="105" w:type="dxa"/>
              <w:bottom w:w="0" w:type="dxa"/>
              <w:right w:w="105" w:type="dxa"/>
            </w:tcMar>
          </w:tcPr>
          <w:p>
            <w:pPr>
              <w:rPr>
                <w:rFonts w:ascii="宋体"/>
                <w:sz w:val="24"/>
              </w:rPr>
            </w:pPr>
          </w:p>
        </w:tc>
        <w:tc>
          <w:tcPr>
            <w:tcW w:w="1890" w:type="dxa"/>
            <w:shd w:val="clear" w:color="auto" w:fill="auto"/>
            <w:tcMar>
              <w:top w:w="0" w:type="dxa"/>
              <w:left w:w="105" w:type="dxa"/>
              <w:bottom w:w="0" w:type="dxa"/>
              <w:right w:w="105" w:type="dxa"/>
            </w:tcMar>
          </w:tcPr>
          <w:p>
            <w:pPr>
              <w:rPr>
                <w:rFonts w:ascii="宋体"/>
                <w:sz w:val="24"/>
              </w:rPr>
            </w:pPr>
          </w:p>
        </w:tc>
      </w:tr>
    </w:tbl>
    <w:p>
      <w:pPr>
        <w:pStyle w:val="7"/>
        <w:widowControl/>
        <w:spacing w:beforeAutospacing="0" w:afterAutospacing="0"/>
        <w:rPr>
          <w:rFonts w:ascii="宋体" w:hAnsi="宋体" w:eastAsia="宋体" w:cs="宋体"/>
          <w:sz w:val="21"/>
          <w:szCs w:val="21"/>
        </w:rPr>
      </w:pPr>
    </w:p>
    <w:p>
      <w:pPr>
        <w:pStyle w:val="7"/>
        <w:widowControl/>
        <w:spacing w:beforeAutospacing="0" w:afterAutospacing="0"/>
      </w:pPr>
      <w:r>
        <w:rPr>
          <w:rFonts w:hint="eastAsia" w:ascii="宋体" w:hAnsi="宋体" w:eastAsia="宋体" w:cs="宋体"/>
          <w:sz w:val="21"/>
          <w:szCs w:val="21"/>
        </w:rPr>
        <w:t>※注意：</w:t>
      </w:r>
    </w:p>
    <w:p>
      <w:pPr>
        <w:pStyle w:val="7"/>
        <w:widowControl/>
        <w:spacing w:beforeAutospacing="0" w:afterAutospacing="0"/>
      </w:pPr>
      <w:r>
        <w:rPr>
          <w:rFonts w:hint="eastAsia" w:ascii="宋体" w:hAnsi="宋体" w:eastAsia="宋体" w:cs="宋体"/>
          <w:sz w:val="21"/>
          <w:szCs w:val="21"/>
        </w:rPr>
        <w:t>1、本表应按照下列规定填写：</w:t>
      </w:r>
    </w:p>
    <w:p>
      <w:pPr>
        <w:pStyle w:val="7"/>
        <w:widowControl/>
        <w:spacing w:beforeAutospacing="0" w:afterAutospacing="0"/>
      </w:pPr>
      <w:r>
        <w:rPr>
          <w:rFonts w:hint="eastAsia" w:ascii="宋体" w:hAnsi="宋体" w:eastAsia="宋体" w:cs="宋体"/>
          <w:sz w:val="21"/>
          <w:szCs w:val="21"/>
        </w:rPr>
        <w:t>1.1“采购包”、“品目号”、“投标标的”及“数量”应与招标文件《采购标的一览表》中的有关内容（“采购包”、“品目号”、“采购标的”及“数量”）保持一致。</w:t>
      </w:r>
    </w:p>
    <w:p>
      <w:pPr>
        <w:pStyle w:val="7"/>
        <w:widowControl/>
        <w:spacing w:beforeAutospacing="0" w:afterAutospacing="0"/>
      </w:pPr>
      <w:r>
        <w:rPr>
          <w:rFonts w:hint="eastAsia" w:ascii="宋体" w:hAnsi="宋体" w:eastAsia="宋体" w:cs="宋体"/>
          <w:sz w:val="21"/>
          <w:szCs w:val="21"/>
        </w:rPr>
        <w:t>1.2“投标标的”为货物的：</w:t>
      </w:r>
      <w:r>
        <w:rPr>
          <w:rStyle w:val="10"/>
          <w:rFonts w:hint="eastAsia" w:ascii="宋体" w:hAnsi="宋体" w:eastAsia="宋体" w:cs="宋体"/>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10"/>
          <w:rFonts w:hint="eastAsia" w:ascii="宋体" w:hAnsi="宋体" w:eastAsia="宋体" w:cs="宋体"/>
          <w:sz w:val="21"/>
          <w:szCs w:val="21"/>
        </w:rPr>
        <w:t>“来源地”</w:t>
      </w:r>
      <w:r>
        <w:rPr>
          <w:rFonts w:hint="eastAsia" w:ascii="宋体" w:hAnsi="宋体" w:eastAsia="宋体" w:cs="宋体"/>
          <w:sz w:val="21"/>
          <w:szCs w:val="21"/>
        </w:rPr>
        <w:t>应填写货物的原产地。</w:t>
      </w:r>
      <w:r>
        <w:rPr>
          <w:rStyle w:val="10"/>
          <w:rFonts w:hint="eastAsia" w:ascii="宋体" w:hAnsi="宋体" w:eastAsia="宋体" w:cs="宋体"/>
          <w:sz w:val="21"/>
          <w:szCs w:val="21"/>
        </w:rPr>
        <w:t>“备注”</w:t>
      </w:r>
      <w:r>
        <w:rPr>
          <w:rFonts w:hint="eastAsia" w:ascii="宋体" w:hAnsi="宋体" w:eastAsia="宋体" w:cs="宋体"/>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7"/>
        <w:widowControl/>
        <w:spacing w:beforeAutospacing="0" w:afterAutospacing="0"/>
      </w:pPr>
      <w:r>
        <w:rPr>
          <w:rFonts w:hint="eastAsia" w:ascii="宋体" w:hAnsi="宋体" w:eastAsia="宋体" w:cs="宋体"/>
          <w:sz w:val="21"/>
          <w:szCs w:val="21"/>
        </w:rPr>
        <w:t>1.3“投标标的”为服务的：</w:t>
      </w:r>
      <w:r>
        <w:rPr>
          <w:rStyle w:val="10"/>
          <w:rFonts w:hint="eastAsia" w:ascii="宋体" w:hAnsi="宋体" w:eastAsia="宋体" w:cs="宋体"/>
          <w:sz w:val="21"/>
          <w:szCs w:val="21"/>
        </w:rPr>
        <w:t>“规格”</w:t>
      </w:r>
      <w:r>
        <w:rPr>
          <w:rFonts w:hint="eastAsia" w:ascii="宋体" w:hAnsi="宋体" w:eastAsia="宋体" w:cs="宋体"/>
          <w:sz w:val="21"/>
          <w:szCs w:val="21"/>
        </w:rPr>
        <w:t>项下应填写服务提供者提供的服务标准及品牌（若有）。</w:t>
      </w:r>
      <w:r>
        <w:rPr>
          <w:rStyle w:val="10"/>
          <w:rFonts w:hint="eastAsia" w:ascii="宋体" w:hAnsi="宋体" w:eastAsia="宋体" w:cs="宋体"/>
          <w:sz w:val="21"/>
          <w:szCs w:val="21"/>
        </w:rPr>
        <w:t>“来源地”</w:t>
      </w:r>
      <w:r>
        <w:rPr>
          <w:rFonts w:hint="eastAsia" w:ascii="宋体" w:hAnsi="宋体" w:eastAsia="宋体" w:cs="宋体"/>
          <w:sz w:val="21"/>
          <w:szCs w:val="21"/>
        </w:rPr>
        <w:t>应填写服务提供者的所在地。</w:t>
      </w:r>
      <w:r>
        <w:rPr>
          <w:rStyle w:val="10"/>
          <w:rFonts w:hint="eastAsia" w:ascii="宋体" w:hAnsi="宋体" w:eastAsia="宋体" w:cs="宋体"/>
          <w:sz w:val="21"/>
          <w:szCs w:val="21"/>
        </w:rPr>
        <w:t>“备注”</w:t>
      </w:r>
      <w:r>
        <w:rPr>
          <w:rFonts w:hint="eastAsia" w:ascii="宋体" w:hAnsi="宋体" w:eastAsia="宋体" w:cs="宋体"/>
          <w:sz w:val="21"/>
          <w:szCs w:val="21"/>
        </w:rPr>
        <w:t>项下应填写关于服务标准所涵盖的具体项目或内容的说明等。</w:t>
      </w:r>
    </w:p>
    <w:p>
      <w:pPr>
        <w:pStyle w:val="7"/>
        <w:widowControl/>
        <w:spacing w:beforeAutospacing="0" w:afterAutospacing="0"/>
      </w:pPr>
      <w:r>
        <w:rPr>
          <w:rFonts w:hint="eastAsia" w:ascii="宋体" w:hAnsi="宋体" w:eastAsia="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7"/>
        <w:widowControl/>
        <w:spacing w:beforeAutospacing="0" w:afterAutospacing="0"/>
      </w:pPr>
      <w:r>
        <w:rPr>
          <w:rFonts w:hint="eastAsia" w:ascii="宋体" w:hAnsi="宋体" w:eastAsia="宋体" w:cs="宋体"/>
          <w:sz w:val="21"/>
          <w:szCs w:val="21"/>
        </w:rPr>
        <w:t>3、电子投标文件中涉及</w:t>
      </w:r>
      <w:r>
        <w:rPr>
          <w:rStyle w:val="10"/>
          <w:rFonts w:hint="eastAsia" w:ascii="宋体" w:hAnsi="宋体" w:eastAsia="宋体" w:cs="宋体"/>
          <w:sz w:val="21"/>
          <w:szCs w:val="21"/>
        </w:rPr>
        <w:t>“投标标的”、“数量”、“规格”、“来源地”</w:t>
      </w:r>
      <w:r>
        <w:rPr>
          <w:rFonts w:hint="eastAsia" w:ascii="宋体" w:hAnsi="宋体" w:eastAsia="宋体" w:cs="宋体"/>
          <w:sz w:val="21"/>
          <w:szCs w:val="21"/>
        </w:rPr>
        <w:t>的内容若不一致，</w:t>
      </w:r>
      <w:r>
        <w:rPr>
          <w:rStyle w:val="10"/>
          <w:rFonts w:hint="eastAsia" w:ascii="宋体" w:hAnsi="宋体" w:eastAsia="宋体" w:cs="宋体"/>
          <w:sz w:val="21"/>
          <w:szCs w:val="21"/>
        </w:rPr>
        <w:t>应以本表为准</w:t>
      </w:r>
      <w:r>
        <w:rPr>
          <w:rFonts w:hint="eastAsia" w:ascii="宋体" w:hAnsi="宋体" w:eastAsia="宋体" w:cs="宋体"/>
          <w:sz w:val="21"/>
          <w:szCs w:val="21"/>
        </w:rPr>
        <w:t>。</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pPr>
      <w:r>
        <w:rPr>
          <w:rFonts w:hint="eastAsia" w:ascii="宋体" w:hAnsi="宋体" w:eastAsia="宋体" w:cs="宋体"/>
          <w:sz w:val="21"/>
          <w:szCs w:val="21"/>
        </w:rPr>
        <w:t> </w:t>
      </w:r>
    </w:p>
    <w:p>
      <w:pPr>
        <w:pStyle w:val="7"/>
        <w:widowControl/>
        <w:rPr>
          <w:rFonts w:ascii="宋体" w:hAnsi="宋体" w:eastAsia="宋体" w:cs="宋体"/>
          <w:sz w:val="21"/>
          <w:szCs w:val="21"/>
        </w:rPr>
      </w:pPr>
      <w:r>
        <w:rPr>
          <w:rFonts w:hint="eastAsia" w:ascii="宋体" w:hAnsi="宋体" w:eastAsia="宋体" w:cs="宋体"/>
          <w:sz w:val="21"/>
          <w:szCs w:val="21"/>
        </w:rPr>
        <w:t> </w:t>
      </w:r>
    </w:p>
    <w:p>
      <w:pPr>
        <w:pStyle w:val="7"/>
        <w:widowControl/>
        <w:rPr>
          <w:rFonts w:ascii="宋体" w:hAnsi="宋体" w:eastAsia="宋体" w:cs="宋体"/>
          <w:sz w:val="21"/>
          <w:szCs w:val="21"/>
        </w:rPr>
      </w:pPr>
    </w:p>
    <w:p>
      <w:pPr>
        <w:pStyle w:val="7"/>
        <w:widowControl/>
        <w:jc w:val="center"/>
      </w:pPr>
      <w:r>
        <w:rPr>
          <w:rStyle w:val="10"/>
          <w:rFonts w:ascii="Calibri" w:hAnsi="Calibri" w:cs="Calibri"/>
          <w:sz w:val="21"/>
          <w:szCs w:val="21"/>
        </w:rPr>
        <w:br w:type="textWrapping"/>
      </w:r>
      <w:r>
        <w:rPr>
          <w:rStyle w:val="10"/>
          <w:rFonts w:hint="eastAsia" w:ascii="宋体" w:hAnsi="宋体" w:eastAsia="宋体" w:cs="宋体"/>
          <w:sz w:val="21"/>
          <w:szCs w:val="21"/>
        </w:rPr>
        <w:t>二、技术和服务要求响应表</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项目编号：</w:t>
      </w:r>
      <w:r>
        <w:rPr>
          <w:rFonts w:hint="eastAsia" w:ascii="宋体" w:hAnsi="宋体" w:eastAsia="宋体" w:cs="宋体"/>
          <w:sz w:val="21"/>
          <w:szCs w:val="21"/>
          <w:u w:val="single"/>
        </w:rPr>
        <w:t>                   </w:t>
      </w:r>
    </w:p>
    <w:tbl>
      <w:tblPr>
        <w:tblStyle w:val="8"/>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90"/>
        <w:gridCol w:w="876"/>
        <w:gridCol w:w="2927"/>
        <w:gridCol w:w="1834"/>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tblCellSpacing w:w="15" w:type="dxa"/>
        </w:trPr>
        <w:tc>
          <w:tcPr>
            <w:tcW w:w="960"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采购包</w:t>
            </w:r>
          </w:p>
        </w:tc>
        <w:tc>
          <w:tcPr>
            <w:tcW w:w="85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品目号</w:t>
            </w:r>
          </w:p>
        </w:tc>
        <w:tc>
          <w:tcPr>
            <w:tcW w:w="2970"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技术和服务要求</w:t>
            </w:r>
          </w:p>
        </w:tc>
        <w:tc>
          <w:tcPr>
            <w:tcW w:w="184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投标响应</w:t>
            </w:r>
          </w:p>
        </w:tc>
        <w:tc>
          <w:tcPr>
            <w:tcW w:w="1890"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0" w:type="dxa"/>
            <w:vMerge w:val="restart"/>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w:t>
            </w:r>
          </w:p>
        </w:tc>
        <w:tc>
          <w:tcPr>
            <w:tcW w:w="85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*-1</w:t>
            </w:r>
          </w:p>
        </w:tc>
        <w:tc>
          <w:tcPr>
            <w:tcW w:w="2970" w:type="dxa"/>
            <w:shd w:val="clear" w:color="auto" w:fill="auto"/>
            <w:tcMar>
              <w:top w:w="0" w:type="dxa"/>
              <w:left w:w="105" w:type="dxa"/>
              <w:bottom w:w="0" w:type="dxa"/>
              <w:right w:w="105" w:type="dxa"/>
            </w:tcMar>
          </w:tcPr>
          <w:p>
            <w:pPr>
              <w:rPr>
                <w:rFonts w:ascii="宋体"/>
                <w:sz w:val="24"/>
              </w:rPr>
            </w:pPr>
          </w:p>
        </w:tc>
        <w:tc>
          <w:tcPr>
            <w:tcW w:w="1845" w:type="dxa"/>
            <w:shd w:val="clear" w:color="auto" w:fill="auto"/>
            <w:tcMar>
              <w:top w:w="0" w:type="dxa"/>
              <w:left w:w="105" w:type="dxa"/>
              <w:bottom w:w="0" w:type="dxa"/>
              <w:right w:w="105" w:type="dxa"/>
            </w:tcMar>
          </w:tcPr>
          <w:p>
            <w:pPr>
              <w:rPr>
                <w:rFonts w:ascii="宋体"/>
                <w:sz w:val="24"/>
              </w:rPr>
            </w:pPr>
          </w:p>
        </w:tc>
        <w:tc>
          <w:tcPr>
            <w:tcW w:w="1890" w:type="dxa"/>
            <w:shd w:val="clear" w:color="auto" w:fill="auto"/>
            <w:tcMar>
              <w:top w:w="0" w:type="dxa"/>
              <w:left w:w="105" w:type="dxa"/>
              <w:bottom w:w="0" w:type="dxa"/>
              <w:right w:w="105" w:type="dxa"/>
            </w:tcMa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0" w:type="dxa"/>
            <w:vMerge w:val="continue"/>
            <w:shd w:val="clear" w:color="auto" w:fill="auto"/>
            <w:tcMar>
              <w:top w:w="0" w:type="dxa"/>
              <w:left w:w="105" w:type="dxa"/>
              <w:bottom w:w="0" w:type="dxa"/>
              <w:right w:w="105" w:type="dxa"/>
            </w:tcMar>
            <w:vAlign w:val="center"/>
          </w:tcPr>
          <w:p>
            <w:pPr>
              <w:rPr>
                <w:rFonts w:ascii="宋体"/>
                <w:sz w:val="24"/>
              </w:rPr>
            </w:pPr>
          </w:p>
        </w:tc>
        <w:tc>
          <w:tcPr>
            <w:tcW w:w="855" w:type="dxa"/>
            <w:shd w:val="clear" w:color="auto" w:fill="auto"/>
            <w:tcMar>
              <w:top w:w="0" w:type="dxa"/>
              <w:left w:w="105" w:type="dxa"/>
              <w:bottom w:w="0" w:type="dxa"/>
              <w:right w:w="105" w:type="dxa"/>
            </w:tcMar>
            <w:vAlign w:val="center"/>
          </w:tcPr>
          <w:p>
            <w:pPr>
              <w:pStyle w:val="7"/>
              <w:widowControl/>
              <w:jc w:val="center"/>
            </w:pPr>
            <w:r>
              <w:rPr>
                <w:rFonts w:ascii="Calibri" w:hAnsi="Calibri" w:cs="Calibri"/>
                <w:sz w:val="21"/>
                <w:szCs w:val="21"/>
              </w:rPr>
              <w:t>…</w:t>
            </w:r>
          </w:p>
        </w:tc>
        <w:tc>
          <w:tcPr>
            <w:tcW w:w="2970" w:type="dxa"/>
            <w:shd w:val="clear" w:color="auto" w:fill="auto"/>
            <w:tcMar>
              <w:top w:w="0" w:type="dxa"/>
              <w:left w:w="105" w:type="dxa"/>
              <w:bottom w:w="0" w:type="dxa"/>
              <w:right w:w="105" w:type="dxa"/>
            </w:tcMar>
          </w:tcPr>
          <w:p>
            <w:pPr>
              <w:rPr>
                <w:rFonts w:ascii="宋体"/>
                <w:sz w:val="24"/>
              </w:rPr>
            </w:pPr>
          </w:p>
        </w:tc>
        <w:tc>
          <w:tcPr>
            <w:tcW w:w="1845" w:type="dxa"/>
            <w:shd w:val="clear" w:color="auto" w:fill="auto"/>
            <w:tcMar>
              <w:top w:w="0" w:type="dxa"/>
              <w:left w:w="105" w:type="dxa"/>
              <w:bottom w:w="0" w:type="dxa"/>
              <w:right w:w="105" w:type="dxa"/>
            </w:tcMar>
          </w:tcPr>
          <w:p>
            <w:pPr>
              <w:rPr>
                <w:rFonts w:ascii="宋体"/>
                <w:sz w:val="24"/>
              </w:rPr>
            </w:pPr>
          </w:p>
        </w:tc>
        <w:tc>
          <w:tcPr>
            <w:tcW w:w="1890" w:type="dxa"/>
            <w:shd w:val="clear" w:color="auto" w:fill="auto"/>
            <w:tcMar>
              <w:top w:w="0" w:type="dxa"/>
              <w:left w:w="105" w:type="dxa"/>
              <w:bottom w:w="0" w:type="dxa"/>
              <w:right w:w="105" w:type="dxa"/>
            </w:tcMa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0" w:type="dxa"/>
            <w:shd w:val="clear" w:color="auto" w:fill="auto"/>
            <w:tcMar>
              <w:top w:w="0" w:type="dxa"/>
              <w:left w:w="105" w:type="dxa"/>
              <w:bottom w:w="0" w:type="dxa"/>
              <w:right w:w="105" w:type="dxa"/>
            </w:tcMar>
            <w:vAlign w:val="center"/>
          </w:tcPr>
          <w:p>
            <w:pPr>
              <w:pStyle w:val="7"/>
              <w:widowControl/>
              <w:jc w:val="center"/>
            </w:pPr>
            <w:r>
              <w:rPr>
                <w:rFonts w:ascii="Calibri" w:hAnsi="Calibri" w:cs="Calibri"/>
                <w:sz w:val="21"/>
                <w:szCs w:val="21"/>
              </w:rPr>
              <w:t>…</w:t>
            </w:r>
          </w:p>
        </w:tc>
        <w:tc>
          <w:tcPr>
            <w:tcW w:w="855" w:type="dxa"/>
            <w:shd w:val="clear" w:color="auto" w:fill="auto"/>
            <w:tcMar>
              <w:top w:w="0" w:type="dxa"/>
              <w:left w:w="105" w:type="dxa"/>
              <w:bottom w:w="0" w:type="dxa"/>
              <w:right w:w="105" w:type="dxa"/>
            </w:tcMar>
            <w:vAlign w:val="center"/>
          </w:tcPr>
          <w:p>
            <w:pPr>
              <w:rPr>
                <w:rFonts w:ascii="宋体"/>
                <w:sz w:val="24"/>
              </w:rPr>
            </w:pPr>
          </w:p>
        </w:tc>
        <w:tc>
          <w:tcPr>
            <w:tcW w:w="2970" w:type="dxa"/>
            <w:shd w:val="clear" w:color="auto" w:fill="auto"/>
            <w:tcMar>
              <w:top w:w="0" w:type="dxa"/>
              <w:left w:w="105" w:type="dxa"/>
              <w:bottom w:w="0" w:type="dxa"/>
              <w:right w:w="105" w:type="dxa"/>
            </w:tcMar>
            <w:vAlign w:val="center"/>
          </w:tcPr>
          <w:p>
            <w:pPr>
              <w:rPr>
                <w:rFonts w:ascii="宋体"/>
                <w:sz w:val="24"/>
              </w:rPr>
            </w:pPr>
          </w:p>
        </w:tc>
        <w:tc>
          <w:tcPr>
            <w:tcW w:w="1845" w:type="dxa"/>
            <w:shd w:val="clear" w:color="auto" w:fill="auto"/>
            <w:tcMar>
              <w:top w:w="0" w:type="dxa"/>
              <w:left w:w="105" w:type="dxa"/>
              <w:bottom w:w="0" w:type="dxa"/>
              <w:right w:w="105" w:type="dxa"/>
            </w:tcMar>
            <w:vAlign w:val="center"/>
          </w:tcPr>
          <w:p>
            <w:pPr>
              <w:rPr>
                <w:rFonts w:ascii="宋体"/>
                <w:sz w:val="24"/>
              </w:rPr>
            </w:pPr>
          </w:p>
        </w:tc>
        <w:tc>
          <w:tcPr>
            <w:tcW w:w="1890" w:type="dxa"/>
            <w:shd w:val="clear" w:color="auto" w:fill="auto"/>
            <w:tcMar>
              <w:top w:w="0" w:type="dxa"/>
              <w:left w:w="105" w:type="dxa"/>
              <w:bottom w:w="0" w:type="dxa"/>
              <w:right w:w="105" w:type="dxa"/>
            </w:tcMar>
            <w:vAlign w:val="center"/>
          </w:tcPr>
          <w:p>
            <w:pPr>
              <w:rPr>
                <w:rFonts w:ascii="宋体"/>
                <w:sz w:val="24"/>
              </w:rPr>
            </w:pPr>
          </w:p>
        </w:tc>
      </w:tr>
    </w:tbl>
    <w:p>
      <w:pPr>
        <w:pStyle w:val="7"/>
        <w:widowControl/>
        <w:rPr>
          <w:rFonts w:ascii="宋体" w:hAnsi="宋体" w:eastAsia="宋体" w:cs="宋体"/>
          <w:sz w:val="21"/>
          <w:szCs w:val="21"/>
        </w:rPr>
      </w:pPr>
    </w:p>
    <w:p>
      <w:pPr>
        <w:pStyle w:val="7"/>
        <w:widowControl/>
        <w:spacing w:beforeAutospacing="0" w:afterAutospacing="0"/>
      </w:pPr>
      <w:r>
        <w:rPr>
          <w:rFonts w:hint="eastAsia" w:ascii="宋体" w:hAnsi="宋体" w:eastAsia="宋体" w:cs="宋体"/>
          <w:sz w:val="21"/>
          <w:szCs w:val="21"/>
        </w:rPr>
        <w:t>※注意：</w:t>
      </w:r>
    </w:p>
    <w:p>
      <w:pPr>
        <w:pStyle w:val="7"/>
        <w:widowControl/>
        <w:spacing w:beforeAutospacing="0" w:afterAutospacing="0"/>
      </w:pPr>
      <w:r>
        <w:rPr>
          <w:rFonts w:hint="eastAsia" w:ascii="宋体" w:hAnsi="宋体" w:eastAsia="宋体" w:cs="宋体"/>
          <w:sz w:val="21"/>
          <w:szCs w:val="21"/>
        </w:rPr>
        <w:t>1、本表应按照下列规定填写：</w:t>
      </w:r>
    </w:p>
    <w:p>
      <w:pPr>
        <w:pStyle w:val="7"/>
        <w:widowControl/>
        <w:spacing w:beforeAutospacing="0" w:afterAutospacing="0"/>
      </w:pPr>
      <w:r>
        <w:rPr>
          <w:rFonts w:hint="eastAsia" w:ascii="宋体" w:hAnsi="宋体" w:eastAsia="宋体" w:cs="宋体"/>
          <w:sz w:val="21"/>
          <w:szCs w:val="21"/>
        </w:rPr>
        <w:t>1.1“技术和服务要求”项下填写的内容应与招标文件第五章“技术和服务要求”的内容保持一致。</w:t>
      </w:r>
    </w:p>
    <w:p>
      <w:pPr>
        <w:pStyle w:val="7"/>
        <w:widowControl/>
        <w:spacing w:beforeAutospacing="0" w:afterAutospacing="0"/>
      </w:pPr>
      <w:r>
        <w:rPr>
          <w:rFonts w:hint="eastAsia" w:ascii="宋体" w:hAnsi="宋体" w:eastAsia="宋体" w:cs="宋体"/>
          <w:sz w:val="21"/>
          <w:szCs w:val="21"/>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7"/>
        <w:widowControl/>
        <w:spacing w:beforeAutospacing="0" w:afterAutospacing="0"/>
      </w:pPr>
      <w:r>
        <w:rPr>
          <w:rFonts w:hint="eastAsia" w:ascii="宋体" w:hAnsi="宋体" w:eastAsia="宋体" w:cs="宋体"/>
          <w:sz w:val="21"/>
          <w:szCs w:val="21"/>
        </w:rPr>
        <w:t>1.3“是否偏离及说明”项下应按下列规定填写：优于的，填写“正偏离”；符合的，填写“无偏离”；低于的，填写“负偏离”。</w:t>
      </w:r>
    </w:p>
    <w:p>
      <w:pPr>
        <w:pStyle w:val="7"/>
        <w:widowControl/>
        <w:spacing w:beforeAutospacing="0" w:afterAutospacing="0"/>
      </w:pPr>
      <w:r>
        <w:rPr>
          <w:rFonts w:hint="eastAsia" w:ascii="宋体" w:hAnsi="宋体" w:eastAsia="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rPr>
          <w:rFonts w:ascii="宋体" w:hAnsi="宋体" w:eastAsia="宋体" w:cs="宋体"/>
          <w:sz w:val="21"/>
          <w:szCs w:val="21"/>
        </w:rPr>
      </w:pPr>
      <w:r>
        <w:rPr>
          <w:rFonts w:hint="eastAsia" w:ascii="宋体" w:hAnsi="宋体" w:eastAsia="宋体" w:cs="宋体"/>
          <w:sz w:val="21"/>
          <w:szCs w:val="21"/>
        </w:rPr>
        <w:t> </w:t>
      </w:r>
    </w:p>
    <w:p>
      <w:pPr>
        <w:pStyle w:val="7"/>
        <w:widowControl/>
        <w:rPr>
          <w:rFonts w:ascii="宋体" w:hAnsi="宋体" w:eastAsia="宋体" w:cs="宋体"/>
          <w:sz w:val="21"/>
          <w:szCs w:val="21"/>
        </w:rPr>
      </w:pPr>
    </w:p>
    <w:p>
      <w:pPr>
        <w:pStyle w:val="7"/>
        <w:widowControl/>
        <w:rPr>
          <w:rFonts w:ascii="宋体" w:hAnsi="宋体" w:eastAsia="宋体" w:cs="宋体"/>
          <w:sz w:val="21"/>
          <w:szCs w:val="21"/>
        </w:rPr>
      </w:pPr>
    </w:p>
    <w:p>
      <w:pPr>
        <w:pStyle w:val="7"/>
        <w:widowControl/>
      </w:pPr>
      <w:r>
        <w:rPr>
          <w:rFonts w:hint="eastAsia" w:ascii="宋体" w:hAnsi="宋体" w:eastAsia="宋体" w:cs="宋体"/>
          <w:sz w:val="21"/>
          <w:szCs w:val="21"/>
        </w:rPr>
        <w:t> </w:t>
      </w:r>
    </w:p>
    <w:p>
      <w:pPr>
        <w:pStyle w:val="7"/>
        <w:widowControl/>
        <w:jc w:val="center"/>
      </w:pPr>
      <w:r>
        <w:rPr>
          <w:rFonts w:ascii="Calibri" w:hAnsi="Calibri" w:cs="Calibri"/>
          <w:sz w:val="21"/>
          <w:szCs w:val="21"/>
        </w:rPr>
        <w:br w:type="textWrapping"/>
      </w:r>
      <w:r>
        <w:rPr>
          <w:rStyle w:val="10"/>
          <w:rFonts w:hint="eastAsia" w:ascii="宋体" w:hAnsi="宋体" w:eastAsia="宋体" w:cs="宋体"/>
          <w:sz w:val="21"/>
          <w:szCs w:val="21"/>
        </w:rPr>
        <w:t>三、商务条件响应表</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项目编号：</w:t>
      </w:r>
      <w:r>
        <w:rPr>
          <w:rFonts w:hint="eastAsia" w:ascii="宋体" w:hAnsi="宋体" w:eastAsia="宋体" w:cs="宋体"/>
          <w:sz w:val="21"/>
          <w:szCs w:val="21"/>
          <w:u w:val="single"/>
        </w:rPr>
        <w:t>                   </w:t>
      </w:r>
    </w:p>
    <w:tbl>
      <w:tblPr>
        <w:tblStyle w:val="8"/>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90"/>
        <w:gridCol w:w="876"/>
        <w:gridCol w:w="2927"/>
        <w:gridCol w:w="1834"/>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0"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采购包</w:t>
            </w:r>
          </w:p>
        </w:tc>
        <w:tc>
          <w:tcPr>
            <w:tcW w:w="85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品目号</w:t>
            </w:r>
          </w:p>
        </w:tc>
        <w:tc>
          <w:tcPr>
            <w:tcW w:w="2970"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商务条件</w:t>
            </w:r>
          </w:p>
        </w:tc>
        <w:tc>
          <w:tcPr>
            <w:tcW w:w="184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投标响应</w:t>
            </w:r>
          </w:p>
        </w:tc>
        <w:tc>
          <w:tcPr>
            <w:tcW w:w="1890"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0" w:type="dxa"/>
            <w:vMerge w:val="restart"/>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w:t>
            </w:r>
          </w:p>
        </w:tc>
        <w:tc>
          <w:tcPr>
            <w:tcW w:w="85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*-1</w:t>
            </w:r>
          </w:p>
        </w:tc>
        <w:tc>
          <w:tcPr>
            <w:tcW w:w="2970" w:type="dxa"/>
            <w:shd w:val="clear" w:color="auto" w:fill="auto"/>
            <w:tcMar>
              <w:top w:w="0" w:type="dxa"/>
              <w:left w:w="105" w:type="dxa"/>
              <w:bottom w:w="0" w:type="dxa"/>
              <w:right w:w="105" w:type="dxa"/>
            </w:tcMar>
          </w:tcPr>
          <w:p>
            <w:pPr>
              <w:rPr>
                <w:rFonts w:ascii="宋体"/>
                <w:sz w:val="24"/>
              </w:rPr>
            </w:pPr>
          </w:p>
        </w:tc>
        <w:tc>
          <w:tcPr>
            <w:tcW w:w="1845" w:type="dxa"/>
            <w:shd w:val="clear" w:color="auto" w:fill="auto"/>
            <w:tcMar>
              <w:top w:w="0" w:type="dxa"/>
              <w:left w:w="105" w:type="dxa"/>
              <w:bottom w:w="0" w:type="dxa"/>
              <w:right w:w="105" w:type="dxa"/>
            </w:tcMar>
          </w:tcPr>
          <w:p>
            <w:pPr>
              <w:rPr>
                <w:rFonts w:ascii="宋体"/>
                <w:sz w:val="24"/>
              </w:rPr>
            </w:pPr>
          </w:p>
        </w:tc>
        <w:tc>
          <w:tcPr>
            <w:tcW w:w="1890" w:type="dxa"/>
            <w:shd w:val="clear" w:color="auto" w:fill="auto"/>
            <w:tcMar>
              <w:top w:w="0" w:type="dxa"/>
              <w:left w:w="105" w:type="dxa"/>
              <w:bottom w:w="0" w:type="dxa"/>
              <w:right w:w="105" w:type="dxa"/>
            </w:tcMa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0" w:type="dxa"/>
            <w:vMerge w:val="continue"/>
            <w:shd w:val="clear" w:color="auto" w:fill="auto"/>
            <w:tcMar>
              <w:top w:w="0" w:type="dxa"/>
              <w:left w:w="105" w:type="dxa"/>
              <w:bottom w:w="0" w:type="dxa"/>
              <w:right w:w="105" w:type="dxa"/>
            </w:tcMar>
            <w:vAlign w:val="center"/>
          </w:tcPr>
          <w:p>
            <w:pPr>
              <w:rPr>
                <w:rFonts w:ascii="宋体"/>
                <w:sz w:val="24"/>
              </w:rPr>
            </w:pPr>
          </w:p>
        </w:tc>
        <w:tc>
          <w:tcPr>
            <w:tcW w:w="855" w:type="dxa"/>
            <w:shd w:val="clear" w:color="auto" w:fill="auto"/>
            <w:tcMar>
              <w:top w:w="0" w:type="dxa"/>
              <w:left w:w="105" w:type="dxa"/>
              <w:bottom w:w="0" w:type="dxa"/>
              <w:right w:w="105" w:type="dxa"/>
            </w:tcMar>
            <w:vAlign w:val="center"/>
          </w:tcPr>
          <w:p>
            <w:pPr>
              <w:pStyle w:val="7"/>
              <w:widowControl/>
              <w:jc w:val="center"/>
            </w:pPr>
            <w:r>
              <w:rPr>
                <w:rFonts w:ascii="Calibri" w:hAnsi="Calibri" w:cs="Calibri"/>
                <w:sz w:val="21"/>
                <w:szCs w:val="21"/>
              </w:rPr>
              <w:t>…</w:t>
            </w:r>
          </w:p>
        </w:tc>
        <w:tc>
          <w:tcPr>
            <w:tcW w:w="2970" w:type="dxa"/>
            <w:shd w:val="clear" w:color="auto" w:fill="auto"/>
            <w:tcMar>
              <w:top w:w="0" w:type="dxa"/>
              <w:left w:w="105" w:type="dxa"/>
              <w:bottom w:w="0" w:type="dxa"/>
              <w:right w:w="105" w:type="dxa"/>
            </w:tcMar>
          </w:tcPr>
          <w:p>
            <w:pPr>
              <w:rPr>
                <w:rFonts w:ascii="宋体"/>
                <w:sz w:val="24"/>
              </w:rPr>
            </w:pPr>
          </w:p>
        </w:tc>
        <w:tc>
          <w:tcPr>
            <w:tcW w:w="1845" w:type="dxa"/>
            <w:shd w:val="clear" w:color="auto" w:fill="auto"/>
            <w:tcMar>
              <w:top w:w="0" w:type="dxa"/>
              <w:left w:w="105" w:type="dxa"/>
              <w:bottom w:w="0" w:type="dxa"/>
              <w:right w:w="105" w:type="dxa"/>
            </w:tcMar>
          </w:tcPr>
          <w:p>
            <w:pPr>
              <w:rPr>
                <w:rFonts w:ascii="宋体"/>
                <w:sz w:val="24"/>
              </w:rPr>
            </w:pPr>
          </w:p>
        </w:tc>
        <w:tc>
          <w:tcPr>
            <w:tcW w:w="1890" w:type="dxa"/>
            <w:shd w:val="clear" w:color="auto" w:fill="auto"/>
            <w:tcMar>
              <w:top w:w="0" w:type="dxa"/>
              <w:left w:w="105" w:type="dxa"/>
              <w:bottom w:w="0" w:type="dxa"/>
              <w:right w:w="105" w:type="dxa"/>
            </w:tcMa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0" w:type="dxa"/>
            <w:shd w:val="clear" w:color="auto" w:fill="auto"/>
            <w:tcMar>
              <w:top w:w="0" w:type="dxa"/>
              <w:left w:w="105" w:type="dxa"/>
              <w:bottom w:w="0" w:type="dxa"/>
              <w:right w:w="105" w:type="dxa"/>
            </w:tcMar>
            <w:vAlign w:val="center"/>
          </w:tcPr>
          <w:p>
            <w:pPr>
              <w:pStyle w:val="7"/>
              <w:widowControl/>
              <w:jc w:val="center"/>
            </w:pPr>
            <w:r>
              <w:rPr>
                <w:rFonts w:ascii="Calibri" w:hAnsi="Calibri" w:cs="Calibri"/>
                <w:sz w:val="21"/>
                <w:szCs w:val="21"/>
              </w:rPr>
              <w:t>…</w:t>
            </w:r>
          </w:p>
        </w:tc>
        <w:tc>
          <w:tcPr>
            <w:tcW w:w="855" w:type="dxa"/>
            <w:shd w:val="clear" w:color="auto" w:fill="auto"/>
            <w:tcMar>
              <w:top w:w="0" w:type="dxa"/>
              <w:left w:w="105" w:type="dxa"/>
              <w:bottom w:w="0" w:type="dxa"/>
              <w:right w:w="105" w:type="dxa"/>
            </w:tcMar>
            <w:vAlign w:val="center"/>
          </w:tcPr>
          <w:p>
            <w:pPr>
              <w:rPr>
                <w:rFonts w:ascii="宋体"/>
                <w:sz w:val="24"/>
              </w:rPr>
            </w:pPr>
          </w:p>
        </w:tc>
        <w:tc>
          <w:tcPr>
            <w:tcW w:w="2970" w:type="dxa"/>
            <w:shd w:val="clear" w:color="auto" w:fill="auto"/>
            <w:tcMar>
              <w:top w:w="0" w:type="dxa"/>
              <w:left w:w="105" w:type="dxa"/>
              <w:bottom w:w="0" w:type="dxa"/>
              <w:right w:w="105" w:type="dxa"/>
            </w:tcMar>
            <w:vAlign w:val="center"/>
          </w:tcPr>
          <w:p>
            <w:pPr>
              <w:rPr>
                <w:rFonts w:ascii="宋体"/>
                <w:sz w:val="24"/>
              </w:rPr>
            </w:pPr>
          </w:p>
        </w:tc>
        <w:tc>
          <w:tcPr>
            <w:tcW w:w="1845" w:type="dxa"/>
            <w:shd w:val="clear" w:color="auto" w:fill="auto"/>
            <w:tcMar>
              <w:top w:w="0" w:type="dxa"/>
              <w:left w:w="105" w:type="dxa"/>
              <w:bottom w:w="0" w:type="dxa"/>
              <w:right w:w="105" w:type="dxa"/>
            </w:tcMar>
            <w:vAlign w:val="center"/>
          </w:tcPr>
          <w:p>
            <w:pPr>
              <w:rPr>
                <w:rFonts w:ascii="宋体"/>
                <w:sz w:val="24"/>
              </w:rPr>
            </w:pPr>
          </w:p>
        </w:tc>
        <w:tc>
          <w:tcPr>
            <w:tcW w:w="1890" w:type="dxa"/>
            <w:shd w:val="clear" w:color="auto" w:fill="auto"/>
            <w:tcMar>
              <w:top w:w="0" w:type="dxa"/>
              <w:left w:w="105" w:type="dxa"/>
              <w:bottom w:w="0" w:type="dxa"/>
              <w:right w:w="105" w:type="dxa"/>
            </w:tcMar>
            <w:vAlign w:val="center"/>
          </w:tcPr>
          <w:p>
            <w:pPr>
              <w:rPr>
                <w:rFonts w:ascii="宋体"/>
                <w:sz w:val="24"/>
              </w:rPr>
            </w:pPr>
          </w:p>
        </w:tc>
      </w:tr>
    </w:tbl>
    <w:p>
      <w:pPr>
        <w:pStyle w:val="7"/>
        <w:widowControl/>
        <w:rPr>
          <w:rFonts w:ascii="宋体" w:hAnsi="宋体" w:eastAsia="宋体" w:cs="宋体"/>
          <w:sz w:val="21"/>
          <w:szCs w:val="21"/>
        </w:rPr>
      </w:pPr>
    </w:p>
    <w:p>
      <w:pPr>
        <w:pStyle w:val="7"/>
        <w:widowControl/>
        <w:spacing w:beforeAutospacing="0" w:afterAutospacing="0"/>
      </w:pPr>
      <w:r>
        <w:rPr>
          <w:rFonts w:hint="eastAsia" w:ascii="宋体" w:hAnsi="宋体" w:eastAsia="宋体" w:cs="宋体"/>
          <w:sz w:val="21"/>
          <w:szCs w:val="21"/>
        </w:rPr>
        <w:t>※注意：</w:t>
      </w:r>
    </w:p>
    <w:p>
      <w:pPr>
        <w:pStyle w:val="7"/>
        <w:widowControl/>
        <w:spacing w:beforeAutospacing="0" w:afterAutospacing="0"/>
      </w:pPr>
      <w:r>
        <w:rPr>
          <w:rFonts w:hint="eastAsia" w:ascii="宋体" w:hAnsi="宋体" w:eastAsia="宋体" w:cs="宋体"/>
          <w:sz w:val="21"/>
          <w:szCs w:val="21"/>
        </w:rPr>
        <w:t>1、本表应按照下列规定填写：</w:t>
      </w:r>
    </w:p>
    <w:p>
      <w:pPr>
        <w:pStyle w:val="7"/>
        <w:widowControl/>
        <w:spacing w:beforeAutospacing="0" w:afterAutospacing="0"/>
      </w:pPr>
      <w:r>
        <w:rPr>
          <w:rFonts w:hint="eastAsia" w:ascii="宋体" w:hAnsi="宋体" w:eastAsia="宋体" w:cs="宋体"/>
          <w:sz w:val="21"/>
          <w:szCs w:val="21"/>
        </w:rPr>
        <w:t>1.1“商务条件”项下填写的内容应与招标文件第五章“商务条件”的内容保持一致。</w:t>
      </w:r>
    </w:p>
    <w:p>
      <w:pPr>
        <w:pStyle w:val="7"/>
        <w:widowControl/>
        <w:spacing w:beforeAutospacing="0" w:afterAutospacing="0"/>
      </w:pPr>
      <w:r>
        <w:rPr>
          <w:rFonts w:hint="eastAsia" w:ascii="宋体" w:hAnsi="宋体" w:eastAsia="宋体" w:cs="宋体"/>
          <w:sz w:val="21"/>
          <w:szCs w:val="21"/>
        </w:rPr>
        <w:t>1.2“投标响应”项下应填写具体的响应内容并与“商务条件”项下填写的内容逐项对应；对“商务条件”项下涉及“≥或＞”、“≤或＜”及某个区间值范围内的内容，应填写具体的数值。</w:t>
      </w:r>
    </w:p>
    <w:p>
      <w:pPr>
        <w:pStyle w:val="7"/>
        <w:widowControl/>
        <w:spacing w:beforeAutospacing="0" w:afterAutospacing="0"/>
      </w:pPr>
      <w:r>
        <w:rPr>
          <w:rFonts w:hint="eastAsia" w:ascii="宋体" w:hAnsi="宋体" w:eastAsia="宋体" w:cs="宋体"/>
          <w:sz w:val="21"/>
          <w:szCs w:val="21"/>
        </w:rPr>
        <w:t>1.3“是否偏离及说明”项下应按下列规定填写：优于的，填写“正偏离”；符合的，填写“无偏离”；低于的，填写“负偏离”。</w:t>
      </w:r>
    </w:p>
    <w:p>
      <w:pPr>
        <w:pStyle w:val="7"/>
        <w:widowControl/>
        <w:spacing w:beforeAutospacing="0" w:afterAutospacing="0"/>
      </w:pPr>
      <w:r>
        <w:rPr>
          <w:rFonts w:hint="eastAsia" w:ascii="宋体" w:hAnsi="宋体" w:eastAsia="宋体" w:cs="宋体"/>
          <w:sz w:val="21"/>
          <w:szCs w:val="21"/>
        </w:rPr>
        <w:t>2、投标人需要说明的内容若需特殊表达，应先在本表中进行相应说明，再另页应答，但应做好标注说明，方便评委查阅评审。未标注说明可能导致的不利的评审后果由投标人自行承担。</w:t>
      </w:r>
    </w:p>
    <w:p>
      <w:pPr>
        <w:pStyle w:val="7"/>
        <w:widowControl/>
      </w:pPr>
    </w:p>
    <w:p>
      <w:pPr>
        <w:pStyle w:val="7"/>
        <w:widowControl/>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rPr>
          <w:rFonts w:ascii="宋体" w:hAnsi="宋体" w:eastAsia="宋体" w:cs="宋体"/>
          <w:sz w:val="21"/>
          <w:szCs w:val="21"/>
        </w:rPr>
      </w:pPr>
      <w:r>
        <w:rPr>
          <w:rFonts w:hint="eastAsia" w:ascii="宋体" w:hAnsi="宋体" w:eastAsia="宋体" w:cs="宋体"/>
          <w:sz w:val="21"/>
          <w:szCs w:val="21"/>
        </w:rPr>
        <w:t> </w:t>
      </w:r>
    </w:p>
    <w:p>
      <w:pPr>
        <w:pStyle w:val="7"/>
        <w:widowControl/>
        <w:rPr>
          <w:rFonts w:ascii="宋体" w:hAnsi="宋体" w:eastAsia="宋体" w:cs="宋体"/>
          <w:sz w:val="21"/>
          <w:szCs w:val="21"/>
        </w:rPr>
      </w:pPr>
    </w:p>
    <w:p>
      <w:pPr>
        <w:pStyle w:val="7"/>
        <w:widowControl/>
        <w:spacing w:after="240" w:afterAutospacing="0"/>
        <w:rPr>
          <w:rFonts w:ascii="宋体" w:hAnsi="宋体" w:eastAsia="宋体" w:cs="宋体"/>
          <w:sz w:val="21"/>
          <w:szCs w:val="21"/>
        </w:rPr>
      </w:pPr>
      <w:r>
        <w:rPr>
          <w:rFonts w:hint="eastAsia" w:ascii="宋体" w:hAnsi="宋体" w:eastAsia="宋体" w:cs="宋体"/>
          <w:sz w:val="21"/>
          <w:szCs w:val="21"/>
        </w:rPr>
        <w:t> </w:t>
      </w:r>
    </w:p>
    <w:p>
      <w:pPr>
        <w:pStyle w:val="7"/>
        <w:widowControl/>
        <w:spacing w:after="240" w:afterAutospacing="0"/>
        <w:rPr>
          <w:rFonts w:ascii="宋体" w:hAnsi="宋体" w:eastAsia="宋体" w:cs="宋体"/>
          <w:sz w:val="21"/>
          <w:szCs w:val="21"/>
        </w:rPr>
      </w:pPr>
    </w:p>
    <w:p>
      <w:pPr>
        <w:pStyle w:val="7"/>
        <w:widowControl/>
        <w:spacing w:after="240" w:afterAutospacing="0"/>
      </w:pPr>
      <w:r>
        <w:rPr>
          <w:rFonts w:hint="eastAsia" w:ascii="宋体" w:hAnsi="宋体" w:eastAsia="宋体" w:cs="宋体"/>
          <w:sz w:val="21"/>
          <w:szCs w:val="21"/>
        </w:rPr>
        <w:br w:type="textWrapping"/>
      </w:r>
    </w:p>
    <w:p>
      <w:pPr>
        <w:pStyle w:val="7"/>
        <w:widowControl/>
        <w:jc w:val="center"/>
      </w:pPr>
      <w:r>
        <w:rPr>
          <w:rFonts w:hint="eastAsia" w:ascii="宋体" w:hAnsi="宋体" w:eastAsia="宋体" w:cs="宋体"/>
          <w:sz w:val="21"/>
          <w:szCs w:val="21"/>
        </w:rPr>
        <w:br w:type="textWrapping"/>
      </w:r>
      <w:r>
        <w:rPr>
          <w:rStyle w:val="10"/>
          <w:rFonts w:hint="eastAsia" w:ascii="宋体" w:hAnsi="宋体" w:eastAsia="宋体" w:cs="宋体"/>
          <w:sz w:val="21"/>
          <w:szCs w:val="21"/>
        </w:rPr>
        <w:t>四、投标人提交的其他资料（若有）</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 </w:t>
      </w:r>
    </w:p>
    <w:p>
      <w:pPr>
        <w:pStyle w:val="7"/>
        <w:widowControl/>
        <w:jc w:val="center"/>
      </w:pPr>
      <w:r>
        <w:rPr>
          <w:rFonts w:hint="eastAsia" w:ascii="宋体" w:hAnsi="宋体" w:eastAsia="宋体" w:cs="宋体"/>
          <w:sz w:val="21"/>
          <w:szCs w:val="21"/>
        </w:rPr>
        <w:t>编制说明</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1、招标文件要求提交的除</w:t>
      </w:r>
      <w:r>
        <w:rPr>
          <w:rStyle w:val="10"/>
          <w:rFonts w:hint="eastAsia" w:ascii="宋体" w:hAnsi="宋体" w:eastAsia="宋体" w:cs="宋体"/>
          <w:sz w:val="21"/>
          <w:szCs w:val="21"/>
        </w:rPr>
        <w:t>“资格及资信证明部分”、“报价部分”</w:t>
      </w:r>
      <w:r>
        <w:rPr>
          <w:rFonts w:hint="eastAsia" w:ascii="宋体" w:hAnsi="宋体" w:eastAsia="宋体" w:cs="宋体"/>
          <w:sz w:val="21"/>
          <w:szCs w:val="21"/>
        </w:rPr>
        <w:t>外的其他证明材料或资料加盖投标人的单位公章后应在此项下提交。</w:t>
      </w:r>
    </w:p>
    <w:p>
      <w:pPr>
        <w:pStyle w:val="7"/>
        <w:widowControl/>
      </w:pPr>
      <w:r>
        <w:rPr>
          <w:rFonts w:hint="eastAsia" w:ascii="宋体" w:hAnsi="宋体" w:eastAsia="宋体" w:cs="宋体"/>
          <w:sz w:val="21"/>
          <w:szCs w:val="21"/>
        </w:rPr>
        <w:t>2、招标文件要求投标人提供方案（包括但不限于：组织、实施、技术、服务方案等）的，投标人应在此项下提交。</w:t>
      </w:r>
    </w:p>
    <w:p>
      <w:pPr>
        <w:pStyle w:val="7"/>
        <w:widowControl/>
      </w:pPr>
      <w:r>
        <w:rPr>
          <w:rFonts w:hint="eastAsia" w:ascii="宋体" w:hAnsi="宋体" w:eastAsia="宋体" w:cs="宋体"/>
          <w:sz w:val="21"/>
          <w:szCs w:val="21"/>
        </w:rPr>
        <w:t>3、除招标文件另有规定外，投标人认为需要提交的其他证明材料或资料加盖投标人的单位公章后应在此项下提交。</w:t>
      </w:r>
    </w:p>
    <w:p/>
    <w:p>
      <w:pPr>
        <w:rPr>
          <w:rFonts w:hint="default"/>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jNmFkNmQwNmUwZDZjYWM2MWYzMWQ4MGI3YTEyZGQifQ=="/>
  </w:docVars>
  <w:rsids>
    <w:rsidRoot w:val="5C8276C6"/>
    <w:rsid w:val="3F1366B2"/>
    <w:rsid w:val="44E622B3"/>
    <w:rsid w:val="453A26AE"/>
    <w:rsid w:val="5B4968EC"/>
    <w:rsid w:val="5C827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Emphasis"/>
    <w:basedOn w:val="9"/>
    <w:qFormat/>
    <w:uiPriority w:val="0"/>
    <w:rPr>
      <w:i/>
    </w:rPr>
  </w:style>
  <w:style w:type="paragraph" w:customStyle="1" w:styleId="12">
    <w:name w:val="Defaul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111</Pages>
  <Words>69141</Words>
  <Characters>75672</Characters>
  <Lines>0</Lines>
  <Paragraphs>0</Paragraphs>
  <TotalTime>0</TotalTime>
  <ScaleCrop>false</ScaleCrop>
  <LinksUpToDate>false</LinksUpToDate>
  <CharactersWithSpaces>77887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2022-11-23T11:56:00Z</dcterms:created>
  <dc:creator>Administrator</dc:creator>
  <cp:lastModifiedBy>Administrator</cp:lastModifiedBy>
  <dcterms:modified xsi:type="dcterms:W3CDTF">2022-11-23T12:48:54Z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0066E820490940ECA7343F460EC4BF01</vt:lpwstr>
  </property>
</Properties>
</file>