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E0" w:rsidRDefault="00A6008A" w:rsidP="00A6008A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E347E0">
        <w:rPr>
          <w:rFonts w:ascii="黑体" w:eastAsia="黑体" w:hAnsi="黑体" w:hint="eastAsia"/>
          <w:sz w:val="32"/>
          <w:szCs w:val="32"/>
        </w:rPr>
        <w:t>2</w:t>
      </w:r>
    </w:p>
    <w:p w:rsidR="00A6008A" w:rsidRDefault="00A6008A" w:rsidP="00000E03">
      <w:pPr>
        <w:spacing w:beforeLines="100"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《福建省研究生教育质量年度报告》支撑数据建议内容 </w:t>
      </w:r>
    </w:p>
    <w:p w:rsidR="00A6008A" w:rsidRDefault="00A6008A" w:rsidP="00A6008A">
      <w:pPr>
        <w:spacing w:line="60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51"/>
        <w:gridCol w:w="1935"/>
        <w:gridCol w:w="3267"/>
        <w:gridCol w:w="5811"/>
      </w:tblGrid>
      <w:tr w:rsidR="00A6008A" w:rsidTr="00571B14">
        <w:trPr>
          <w:cantSplit/>
          <w:trHeight w:val="48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支撑内容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数据名称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数据说明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学位点数量及结构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博士学位点数量及结构</w:t>
            </w:r>
          </w:p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硕士学位点数量及结构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按一级学科、专业学位，分博士、硕士分别统计。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研究生规模及结构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在校研究生数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指全日制和非全日制研究生数的总和。按一级学科、专业学位，分博士、硕士、全日制、非全日制分别统计。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研究生与本科生比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在校研究生数/在校全日制本科生数。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重点学科情况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国家级重点学科</w:t>
            </w:r>
          </w:p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福建省省级重点学科</w:t>
            </w:r>
          </w:p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福建省特色重点学科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6008A" w:rsidTr="004101AA">
        <w:trPr>
          <w:cantSplit/>
          <w:trHeight w:val="791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学位点合格评估和动态调整情况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学位点合格评估情况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参与合格评估的学位点名称及结果。</w:t>
            </w:r>
          </w:p>
        </w:tc>
      </w:tr>
      <w:tr w:rsidR="00A6008A" w:rsidTr="004101AA">
        <w:trPr>
          <w:cantSplit/>
          <w:trHeight w:val="911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学位点动态调整情况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自行调整的学位点名称及结果。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研究生招生及生源情况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招生计划数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按一级学科、专业学位，分博士、硕士分别统计。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录取人数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报到人数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第一志愿录取人数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录取推免硕士生人数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录取直博生和硕博连读生人数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学位授予情况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博士、硕士学位授予人数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按一级学科、专业学位，分博士、硕士、全日制、非全日制分别统计。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研究生如期取得学位率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按一级学科、专业学位，分博士、硕士分别统计。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当年授予学位人数及当年取得学位的研究生学习年限数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学习年限按2年以下、2-2.5年、2.5-3年、3-4年、4-5年、5-6年、6年及以上统计。按一级学科、专业学位，分博士、硕士分别统计。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博士、硕士论文抽检数及存在问题论文篇次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包含国家、省级、校级抽检论文。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撤销学位人数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经学位评议委员会正式处理的。按一级学科、专业学位，分博士、硕士分别统计。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研究生就业状况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毕业研究生就业率</w:t>
            </w:r>
          </w:p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毕业研究生就业单位性质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按一级学科、专业学位，分博士、硕士分别统计。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研究生教育教学资源情况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重点研究基地和平台数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包含国家实验室、国家重大科技基础设施、国家重点实验室、国家工程实验室、国防科技重点实验室、国家工程技术研究中心、国家工程研究中心、国家国际科技合作基地、国家野外科学观测研究站、省部共建国家重点实验室、教育部人文社科重点研究基地等；省部级重点实验室、基地、中心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科研项目数及科研总经费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分横向经费数、纵向经费数、横向项目数、纵向项目数统计。</w:t>
            </w:r>
          </w:p>
        </w:tc>
      </w:tr>
      <w:tr w:rsidR="00A6008A" w:rsidTr="004101AA">
        <w:trPr>
          <w:cantSplit/>
          <w:trHeight w:val="1263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人才培养基地数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包含各级产学研实践基地数、研究生校外实践基地数等；专业学位需填报实习实践人数情况。</w:t>
            </w:r>
          </w:p>
        </w:tc>
      </w:tr>
      <w:tr w:rsidR="00A6008A" w:rsidTr="004101AA">
        <w:trPr>
          <w:cantSplit/>
          <w:trHeight w:val="1658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研究生教育经费投入情况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研究生奖助学金资金总额、人次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包含国家助学金、国家学生奖学金、省市奖助学金、学校各类奖学金和助学、助研、助管等投入总数。人次按一级学科、专业学位，分博士、硕士分别统计。</w:t>
            </w:r>
          </w:p>
        </w:tc>
      </w:tr>
      <w:tr w:rsidR="00A6008A" w:rsidTr="004101AA">
        <w:trPr>
          <w:cantSplit/>
          <w:trHeight w:val="118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导师出资资助研究生的金额</w:t>
            </w:r>
          </w:p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总数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导师队伍规模</w:t>
            </w:r>
          </w:p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与结构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导师队伍人数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按一级学科、专业学位，分博导和硕导统计，其中博导与硕导不重复计算，专业学位导师数单列。</w:t>
            </w:r>
          </w:p>
        </w:tc>
      </w:tr>
      <w:tr w:rsidR="00A6008A" w:rsidTr="004101AA">
        <w:trPr>
          <w:cantSplit/>
          <w:trHeight w:val="927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研究生生师比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按一级学科、专业学位，分博士、硕士分别统计。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导师队伍结构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学历结构：博士研究生、硕士研究生、本科生及以下，具有海外学历者的比例；年龄结构：按45岁及以下、46-55、56及以上分类统计，以</w:t>
            </w:r>
            <w:smartTag w:uri="urn:schemas-microsoft-com:office:smarttags" w:element="chsdate">
              <w:smartTagPr>
                <w:attr w:name="Year" w:val="2015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00E03">
                <w:rPr>
                  <w:rFonts w:ascii="仿宋_GB2312" w:eastAsia="仿宋_GB2312" w:hAnsi="仿宋" w:hint="eastAsia"/>
                  <w:sz w:val="24"/>
                  <w:szCs w:val="24"/>
                </w:rPr>
                <w:t>9月1日</w:t>
              </w:r>
            </w:smartTag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满周岁计算。职称结构：正高、副高、中级职称结构。分博导、硕导统计。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校外兼职导师数、兼职导师指导学生数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按硕导、博导，专业学位导师分别统计。</w:t>
            </w:r>
          </w:p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专业学位需统计具有行业背景的兼职教师数。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高层次人才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院士、长江学者、国家杰青、千人计划、万人计划、973首席科学家、百千万人才工程国家级人才，青年拔尖人才、青年长江学者、青年千人、国家优青、教育部新世纪优秀人才，省“海纳百川”高端人才聚集计划、省高校百名领军人才资助计划、闽江学者等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研究生课程建设情况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当年全校开设研究生课程的总门数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指列入培养计划的、在学年度内实际开设的、具有独立课程代码的课程总数。跨学期讲授的同一门课程计为一门课程。按一级学科、专业学位，分博士、硕士分别统计。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  <w:highlight w:val="darkGray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研究生教育创新计划项目实施情况及成效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研究生暑期学校情况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承办、参加各级暑期学校数量；邀请的专家数，参加暑期学校的学生数。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研究生创新论坛情况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承办、参加创新论坛分论坛情况；邀请的专家数，参加创新论坛的学生数，投稿和获奖论文数。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研究生科研创新项目情况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省级和校级资助的研究生科研创新项目数量，分博士、硕士分别统计。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优势学科创新平台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省级优势学科创新平台项目数量和名称。</w:t>
            </w:r>
          </w:p>
        </w:tc>
      </w:tr>
      <w:tr w:rsidR="00A6008A" w:rsidTr="004101AA">
        <w:trPr>
          <w:cantSplit/>
          <w:trHeight w:val="1055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研究生教育创新基地建设情况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省级、校级、院（系）级建设的研究生教育创新基地数量和名称。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其他学术论坛数、讲座及参与学生情况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学校主办或承办的其他学术论坛、讲座次数，邀请的专家数，参与的研究生人次。</w:t>
            </w:r>
          </w:p>
        </w:tc>
      </w:tr>
      <w:tr w:rsidR="00A6008A" w:rsidTr="004101AA">
        <w:trPr>
          <w:cantSplit/>
          <w:trHeight w:val="684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其他创新工程项目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研究生专业能力提升工作实施情况及成效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专业能力竞赛情况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学校举办专业能力竞赛项目名称及参赛人数，参加各级专业技能竞赛人次及获奖情况。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研究生暑期社会实践情况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组织研究生暑期社会实践的团队数及参加人数。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产学研合作情况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企业参与合作培养情况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参与合作培养研究生的企业名称、数量及培养的研究生数，是否签订合作协议书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学校参与企业产品开发与推广数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项目名称及数量。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技术服务与技术培训次数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参加技术服务的人数及技术培训的学员数。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智库建设情况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被上级部门采纳的意见或代拟的文件名称及数量。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取得的经济效益与社会效益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实现的产值数或节约的成本数等。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研究生学术成果及科研获奖情况</w:t>
            </w:r>
          </w:p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研究生论文发表数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按一级学科、专业学位，分博士、硕士分别统计（下同），研究生作为第一作者在学术期刊发表的学术论文总篇数。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研究生论文核心期刊发表数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研究生作为第一作者在核心期刊发表论文数。核心期刊范围为：</w:t>
            </w:r>
            <w:r w:rsidRPr="00000E03">
              <w:rPr>
                <w:rFonts w:eastAsia="仿宋_GB2312"/>
                <w:szCs w:val="21"/>
              </w:rPr>
              <w:t>SCI</w:t>
            </w:r>
            <w:r w:rsidRPr="00000E03">
              <w:rPr>
                <w:rFonts w:eastAsia="仿宋_GB2312" w:hint="eastAsia"/>
                <w:szCs w:val="21"/>
              </w:rPr>
              <w:t>、</w:t>
            </w:r>
            <w:r w:rsidRPr="00000E03">
              <w:rPr>
                <w:rFonts w:eastAsia="仿宋_GB2312"/>
                <w:szCs w:val="21"/>
              </w:rPr>
              <w:t>SSCI</w:t>
            </w:r>
            <w:r w:rsidRPr="00000E03">
              <w:rPr>
                <w:rFonts w:eastAsia="仿宋_GB2312" w:hint="eastAsia"/>
                <w:szCs w:val="21"/>
              </w:rPr>
              <w:t>、</w:t>
            </w:r>
            <w:r w:rsidRPr="00000E03">
              <w:rPr>
                <w:rFonts w:eastAsia="仿宋_GB2312"/>
                <w:szCs w:val="21"/>
              </w:rPr>
              <w:t>AHCI</w:t>
            </w:r>
            <w:r w:rsidRPr="00000E03">
              <w:rPr>
                <w:rFonts w:eastAsia="仿宋_GB2312" w:hint="eastAsia"/>
                <w:szCs w:val="21"/>
              </w:rPr>
              <w:t>、</w:t>
            </w:r>
            <w:r w:rsidRPr="00000E03">
              <w:rPr>
                <w:rFonts w:eastAsia="仿宋_GB2312"/>
                <w:szCs w:val="21"/>
              </w:rPr>
              <w:t>EI</w:t>
            </w:r>
            <w:r w:rsidRPr="00000E03">
              <w:rPr>
                <w:rFonts w:eastAsia="仿宋_GB2312" w:hint="eastAsia"/>
                <w:szCs w:val="21"/>
              </w:rPr>
              <w:t>、</w:t>
            </w:r>
            <w:r w:rsidRPr="00000E03">
              <w:rPr>
                <w:rFonts w:eastAsia="仿宋_GB2312"/>
                <w:szCs w:val="21"/>
              </w:rPr>
              <w:t>CSCD</w:t>
            </w:r>
            <w:r w:rsidRPr="00000E03">
              <w:rPr>
                <w:rFonts w:eastAsia="仿宋_GB2312" w:hint="eastAsia"/>
                <w:szCs w:val="21"/>
              </w:rPr>
              <w:t>、</w:t>
            </w:r>
            <w:r w:rsidRPr="00000E03">
              <w:rPr>
                <w:rFonts w:eastAsia="仿宋_GB2312"/>
                <w:szCs w:val="21"/>
              </w:rPr>
              <w:t>CSSCI</w:t>
            </w:r>
            <w:r w:rsidRPr="00000E03">
              <w:rPr>
                <w:rFonts w:eastAsia="仿宋_GB2312" w:hint="eastAsia"/>
                <w:szCs w:val="21"/>
              </w:rPr>
              <w:t>收录</w:t>
            </w: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研究生取得授权专利数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研究生作为第一专利负责人取得的专利数。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以在校研究生为主要完成人的科研获奖情况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当年最高水平奖项，限填20项。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研究生教育管理与服务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研究生教育管理制度体系建设情况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现有研究生教育管理文件及执行情况。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研究生教育管理人员总数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包含校级和院系级管理人员总数，须为在编在岗专职人员。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研究生教育、教学研究成果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研究生教育管理部门在公开杂志上发表的论文数、承担的课题研究项目数及获奖励表彰情况。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17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研究生对培养过程的满意度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学生学习满意度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研究生（含毕业生）对学校教育教学评价的调查方法与结果。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用人单位对毕业生满意度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调查方法与结果。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研究生教育国际化情况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派出境外交流和接收来华交流的研究生人次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聘任担任研究生教育任务的外籍教师数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国际合作项目数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E03">
              <w:rPr>
                <w:rFonts w:ascii="仿宋_GB2312" w:eastAsia="仿宋_GB2312" w:hAnsi="仿宋" w:hint="eastAsia"/>
                <w:sz w:val="24"/>
                <w:szCs w:val="24"/>
              </w:rPr>
              <w:t>以教育部批准备案的中外合作办学项目为准。</w:t>
            </w:r>
          </w:p>
        </w:tc>
      </w:tr>
      <w:tr w:rsidR="00A6008A" w:rsidTr="00571B14">
        <w:trPr>
          <w:cantSplit/>
          <w:trHeight w:val="2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其他与研究生教育质量相关数据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8A" w:rsidRPr="00000E03" w:rsidRDefault="00A6008A" w:rsidP="00571B14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A6008A" w:rsidRDefault="00A6008A" w:rsidP="00A6008A">
      <w:pPr>
        <w:spacing w:line="600" w:lineRule="exact"/>
        <w:rPr>
          <w:rFonts w:ascii="宋体" w:hAnsi="宋体"/>
          <w:szCs w:val="21"/>
        </w:rPr>
      </w:pPr>
      <w:r>
        <w:rPr>
          <w:rFonts w:ascii="宋体" w:hAnsi="宋体" w:hint="eastAsia"/>
          <w:spacing w:val="-2"/>
          <w:szCs w:val="21"/>
        </w:rPr>
        <w:t>注：财务、科研数据按自然年度（上一年度）统计，其余事例和数据按学年度统计（</w:t>
      </w:r>
      <w:r>
        <w:rPr>
          <w:rFonts w:ascii="宋体" w:hAnsi="宋体" w:hint="eastAsia"/>
          <w:szCs w:val="21"/>
        </w:rPr>
        <w:t>上一年度9月1日至当年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5"/>
        </w:smartTagPr>
        <w:r>
          <w:rPr>
            <w:rFonts w:ascii="宋体" w:hAnsi="宋体" w:hint="eastAsia"/>
            <w:szCs w:val="21"/>
          </w:rPr>
          <w:t>8月31日</w:t>
        </w:r>
      </w:smartTag>
      <w:r>
        <w:rPr>
          <w:rFonts w:ascii="宋体" w:hAnsi="宋体" w:hint="eastAsia"/>
          <w:spacing w:val="-2"/>
          <w:szCs w:val="21"/>
        </w:rPr>
        <w:t>），如使用其他时间截点统计数据</w:t>
      </w:r>
      <w:r>
        <w:rPr>
          <w:rFonts w:ascii="宋体" w:hAnsi="宋体" w:hint="eastAsia"/>
          <w:spacing w:val="-2"/>
          <w:szCs w:val="21"/>
        </w:rPr>
        <w:lastRenderedPageBreak/>
        <w:t>应备注说明。</w:t>
      </w:r>
    </w:p>
    <w:p w:rsidR="00A6008A" w:rsidRDefault="00A6008A" w:rsidP="00A6008A">
      <w:pPr>
        <w:widowControl/>
        <w:spacing w:line="600" w:lineRule="exact"/>
        <w:jc w:val="left"/>
        <w:rPr>
          <w:rFonts w:ascii="宋体" w:hAnsi="宋体"/>
          <w:szCs w:val="21"/>
        </w:rPr>
      </w:pPr>
    </w:p>
    <w:p w:rsidR="00A6008A" w:rsidRDefault="00A6008A" w:rsidP="00A6008A">
      <w:pPr>
        <w:rPr>
          <w:rFonts w:ascii="Calibri" w:hAnsi="Calibri"/>
          <w:szCs w:val="22"/>
        </w:rPr>
      </w:pPr>
    </w:p>
    <w:p w:rsidR="00CB22A5" w:rsidRPr="00A6008A" w:rsidRDefault="00CB22A5"/>
    <w:sectPr w:rsidR="00CB22A5" w:rsidRPr="00A6008A" w:rsidSect="00A600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B79" w:rsidRDefault="00F77B79" w:rsidP="004101AA">
      <w:r>
        <w:separator/>
      </w:r>
    </w:p>
  </w:endnote>
  <w:endnote w:type="continuationSeparator" w:id="1">
    <w:p w:rsidR="00F77B79" w:rsidRDefault="00F77B79" w:rsidP="0041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79" w:rsidRDefault="00F77B79" w:rsidP="004101AA">
      <w:r>
        <w:separator/>
      </w:r>
    </w:p>
  </w:footnote>
  <w:footnote w:type="continuationSeparator" w:id="1">
    <w:p w:rsidR="00F77B79" w:rsidRDefault="00F77B79" w:rsidP="00410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08A"/>
    <w:rsid w:val="00000E03"/>
    <w:rsid w:val="00255F51"/>
    <w:rsid w:val="002626AE"/>
    <w:rsid w:val="003B16A3"/>
    <w:rsid w:val="004101AA"/>
    <w:rsid w:val="00481589"/>
    <w:rsid w:val="005B5833"/>
    <w:rsid w:val="007B46FB"/>
    <w:rsid w:val="00A6008A"/>
    <w:rsid w:val="00BE29A2"/>
    <w:rsid w:val="00C9573C"/>
    <w:rsid w:val="00CB22A5"/>
    <w:rsid w:val="00E347E0"/>
    <w:rsid w:val="00F77B79"/>
    <w:rsid w:val="00F9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1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1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丁欢</cp:lastModifiedBy>
  <cp:revision>6</cp:revision>
  <cp:lastPrinted>2018-03-15T03:12:00Z</cp:lastPrinted>
  <dcterms:created xsi:type="dcterms:W3CDTF">2015-12-11T00:28:00Z</dcterms:created>
  <dcterms:modified xsi:type="dcterms:W3CDTF">2018-11-02T01:47:00Z</dcterms:modified>
</cp:coreProperties>
</file>