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beforeAutospacing="0" w:afterLines="50" w:afterAutospacing="0" w:line="360" w:lineRule="auto"/>
        <w:ind w:firstLine="562" w:firstLineChars="200"/>
        <w:jc w:val="center"/>
        <w:rPr>
          <w:rFonts w:hint="eastAsia" w:ascii="黑体" w:hAnsi="黑体" w:eastAsia="黑体" w:cs="黑体"/>
          <w:b/>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关于泉州师范学院分年度项目库（2018-2020年）申报的通知</w:t>
      </w:r>
    </w:p>
    <w:p>
      <w:pPr>
        <w:pStyle w:val="4"/>
        <w:spacing w:before="0" w:beforeAutospacing="0" w:after="0" w:afterAutospacing="0" w:line="360" w:lineRule="auto"/>
        <w:rPr>
          <w:rFonts w:hint="eastAsia" w:ascii="仿宋" w:hAnsi="仿宋" w:eastAsia="仿宋" w:cs="仿宋"/>
          <w:sz w:val="30"/>
          <w:szCs w:val="30"/>
        </w:rPr>
      </w:pPr>
      <w:r>
        <w:rPr>
          <w:rFonts w:hint="eastAsia" w:ascii="仿宋" w:hAnsi="仿宋" w:eastAsia="仿宋" w:cs="仿宋"/>
          <w:sz w:val="30"/>
          <w:szCs w:val="30"/>
        </w:rPr>
        <w:t>各二级党委（党总支）、各学院、机关各部（处、室）、各直属单位：</w:t>
      </w:r>
    </w:p>
    <w:p>
      <w:pPr>
        <w:pStyle w:val="4"/>
        <w:spacing w:before="0" w:beforeAutospacing="0" w:after="0" w:afterAutospacing="0" w:line="360" w:lineRule="auto"/>
        <w:ind w:firstLine="560" w:firstLineChars="200"/>
        <w:rPr>
          <w:rFonts w:hint="eastAsia" w:ascii="仿宋" w:hAnsi="仿宋" w:eastAsia="仿宋" w:cs="仿宋"/>
          <w:sz w:val="30"/>
          <w:szCs w:val="30"/>
        </w:rPr>
      </w:pPr>
      <w:r>
        <w:rPr>
          <w:rFonts w:hint="eastAsia" w:ascii="仿宋" w:hAnsi="仿宋" w:eastAsia="仿宋" w:cs="仿宋"/>
          <w:sz w:val="30"/>
          <w:szCs w:val="30"/>
        </w:rPr>
        <w:t xml:space="preserve">为持续推进和加强重点建设项目的前瞻规划和建设资金的统筹协调，加强各项建设资金预算的规范化、程序化和精细化管理，我校拟启动项目库建设工作。现就2017年分年度项目库（2018-2020年）申报工作有关事项通知如下： </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一、编制原则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（一）申报单位应</w:t>
      </w:r>
      <w:r>
        <w:rPr>
          <w:rFonts w:hint="eastAsia" w:ascii="仿宋" w:hAnsi="仿宋" w:eastAsia="仿宋" w:cs="仿宋"/>
          <w:color w:val="333333"/>
          <w:sz w:val="30"/>
          <w:szCs w:val="30"/>
          <w:shd w:val="clear" w:color="auto" w:fill="FFFFFF"/>
        </w:rPr>
        <w:t>以国家</w:t>
      </w:r>
      <w:r>
        <w:rPr>
          <w:rFonts w:hint="eastAsia" w:ascii="仿宋" w:hAnsi="仿宋" w:eastAsia="仿宋" w:cs="仿宋"/>
          <w:color w:val="333333"/>
          <w:sz w:val="30"/>
          <w:szCs w:val="30"/>
        </w:rPr>
        <w:t>高等教育</w:t>
      </w:r>
      <w:r>
        <w:rPr>
          <w:rFonts w:hint="eastAsia" w:ascii="仿宋" w:hAnsi="仿宋" w:eastAsia="仿宋" w:cs="仿宋"/>
          <w:color w:val="333333"/>
          <w:sz w:val="30"/>
          <w:szCs w:val="30"/>
          <w:shd w:val="clear" w:color="auto" w:fill="FFFFFF"/>
        </w:rPr>
        <w:t>相关政策为导向，紧紧围绕学校发展三步走战略，根据《泉州师范学院章程》、《泉州师范学院十三五发展规划》以及各专项规划、《中共泉州师范学院第二次党代会报告》（见附件）等的总体要求，结合本单位实际发展情况，遴选重点、急需且可操作性强的项目，并按轻重缓急编制分年度计划。</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color w:val="333333"/>
          <w:sz w:val="30"/>
          <w:szCs w:val="30"/>
        </w:rPr>
        <w:t>（二）项目库包含重点学科建设项目、科研平台建设项目、教学/实验平台建设项目、专业实践基地建设项目、人才队伍建设项目、创新团队建设项目、公共服务建设项目及基础设施建设项目等类型</w:t>
      </w:r>
      <w:r>
        <w:rPr>
          <w:rFonts w:hint="eastAsia" w:ascii="仿宋" w:hAnsi="仿宋" w:eastAsia="仿宋" w:cs="仿宋"/>
          <w:sz w:val="30"/>
          <w:szCs w:val="30"/>
        </w:rPr>
        <w:t>。</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二、编制内容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color w:val="333333"/>
          <w:sz w:val="30"/>
          <w:szCs w:val="30"/>
          <w:shd w:val="clear" w:color="auto" w:fill="FFFFFF"/>
        </w:rPr>
        <w:t>分年度项目库申报方案包含项目申报说明和分年度项目库申报汇总表（见附件）。</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三、编制要求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sz w:val="30"/>
          <w:szCs w:val="30"/>
        </w:rPr>
        <w:t>各有关单位应认真梳理、统筹协调，保障重点建设储备项目的质量，形成接续不断、滚动实施的储备机制和良性循环，不断丰富和完善重点建设项目库，储备、建设一批大项目、好项目，促使学校早日实现三步走战略。</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（二）要高度重视分年度项目库的申报，努力提高项目质量，确保按时完成项目填报、审核和申报工作。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（三）已列入国家或省、市、县(市、区)有关财政资金资助的项目，不得重复申请与安排。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（四）经评审论证及合理排序后进入项目库的项目，将在正式立项后根据经费来源下拨经费。 </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四、申报条件</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符合财政和学校预算资金支持的方向；符合本单位发展实际；有明确的目标和实施计划，项目预算科学合理，并经过充分论证。</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 xml:space="preserve">五、时间安排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根据工作需要， 2018-2020年分年度项目库申报时间安排如下： </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（一）11月15日前，各部门提交分年度项目库申报方案（电子版+纸质盖章版）。</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（二）11月16日-12月31日，启动项目评选，入库。并完善2018年入库项目论证。</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（三）2018年元旦后，启动2018年项目立项和招标程序。</w:t>
      </w:r>
    </w:p>
    <w:p>
      <w:pPr>
        <w:widowControl/>
        <w:shd w:val="clear" w:color="auto" w:fill="FFFFFF"/>
        <w:spacing w:line="360" w:lineRule="auto"/>
        <w:ind w:firstLine="560"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六、联系方式</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联系人：胡俊梅  电话：22050672</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邮箱：fzghc@qztc.edu.cn</w:t>
      </w: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地址：行政楼802</w:t>
      </w:r>
    </w:p>
    <w:p>
      <w:pPr>
        <w:widowControl/>
        <w:shd w:val="clear" w:color="auto" w:fill="FFFFFF"/>
        <w:spacing w:line="360" w:lineRule="auto"/>
        <w:ind w:firstLine="560" w:firstLineChars="200"/>
        <w:jc w:val="left"/>
        <w:rPr>
          <w:rFonts w:hint="eastAsia" w:ascii="仿宋" w:hAnsi="仿宋" w:eastAsia="仿宋" w:cs="仿宋"/>
          <w:kern w:val="0"/>
          <w:sz w:val="30"/>
          <w:szCs w:val="30"/>
        </w:rPr>
      </w:pPr>
    </w:p>
    <w:p>
      <w:pPr>
        <w:widowControl/>
        <w:shd w:val="clear" w:color="auto" w:fill="FFFFFF"/>
        <w:spacing w:line="360" w:lineRule="auto"/>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附件：1.分年度项目库申报汇总表（2018-2020年）</w:t>
      </w:r>
    </w:p>
    <w:p>
      <w:pPr>
        <w:widowControl/>
        <w:shd w:val="clear" w:color="auto" w:fill="FFFFFF"/>
        <w:spacing w:line="360" w:lineRule="auto"/>
        <w:ind w:left="1399" w:leftChars="666"/>
        <w:jc w:val="left"/>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2.分年度项目库建设项目申报说明书</w:t>
      </w:r>
    </w:p>
    <w:p>
      <w:pPr>
        <w:widowControl/>
        <w:shd w:val="clear" w:color="auto" w:fill="FFFFFF"/>
        <w:spacing w:line="360" w:lineRule="auto"/>
        <w:ind w:left="1399" w:leftChars="666"/>
        <w:jc w:val="left"/>
        <w:rPr>
          <w:rFonts w:hint="eastAsia" w:ascii="仿宋" w:hAnsi="仿宋" w:eastAsia="仿宋" w:cs="仿宋"/>
          <w:color w:val="333333"/>
          <w:sz w:val="30"/>
          <w:szCs w:val="30"/>
          <w:shd w:val="clear" w:color="auto" w:fill="FFFFFF"/>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3.</w:t>
      </w:r>
      <w:r>
        <w:rPr>
          <w:rFonts w:hint="eastAsia" w:ascii="仿宋" w:hAnsi="仿宋" w:eastAsia="仿宋" w:cs="仿宋"/>
          <w:color w:val="333333"/>
          <w:sz w:val="30"/>
          <w:szCs w:val="30"/>
          <w:shd w:val="clear" w:color="auto" w:fill="FFFFFF"/>
        </w:rPr>
        <w:t>泉州师范学院章程</w:t>
      </w:r>
    </w:p>
    <w:p>
      <w:pPr>
        <w:widowControl/>
        <w:shd w:val="clear" w:color="auto" w:fill="FFFFFF"/>
        <w:spacing w:line="360" w:lineRule="auto"/>
        <w:ind w:left="1399" w:leftChars="666"/>
        <w:jc w:val="left"/>
        <w:rPr>
          <w:rFonts w:hint="eastAsia" w:ascii="仿宋" w:hAnsi="仿宋" w:eastAsia="仿宋" w:cs="仿宋"/>
          <w:color w:val="333333"/>
          <w:sz w:val="30"/>
          <w:szCs w:val="30"/>
          <w:shd w:val="clear" w:color="auto" w:fill="FFFFFF"/>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4.</w:t>
      </w:r>
      <w:r>
        <w:rPr>
          <w:rFonts w:hint="eastAsia" w:ascii="仿宋" w:hAnsi="仿宋" w:eastAsia="仿宋" w:cs="仿宋"/>
          <w:color w:val="333333"/>
          <w:sz w:val="30"/>
          <w:szCs w:val="30"/>
          <w:shd w:val="clear" w:color="auto" w:fill="FFFFFF"/>
        </w:rPr>
        <w:t>泉州师范学院十三五发展规划</w:t>
      </w:r>
    </w:p>
    <w:p>
      <w:pPr>
        <w:widowControl/>
        <w:shd w:val="clear" w:color="auto" w:fill="FFFFFF"/>
        <w:spacing w:line="360" w:lineRule="auto"/>
        <w:ind w:left="1399" w:leftChars="666"/>
        <w:jc w:val="left"/>
        <w:rPr>
          <w:rFonts w:hint="eastAsia" w:ascii="仿宋" w:hAnsi="仿宋" w:eastAsia="仿宋" w:cs="仿宋"/>
          <w:color w:val="333333"/>
          <w:sz w:val="30"/>
          <w:szCs w:val="30"/>
          <w:shd w:val="clear" w:color="auto" w:fill="FFFFFF"/>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5.</w:t>
      </w:r>
      <w:r>
        <w:rPr>
          <w:rFonts w:hint="eastAsia" w:ascii="仿宋" w:hAnsi="仿宋" w:eastAsia="仿宋" w:cs="仿宋"/>
          <w:color w:val="333333"/>
          <w:sz w:val="30"/>
          <w:szCs w:val="30"/>
          <w:shd w:val="clear" w:color="auto" w:fill="FFFFFF"/>
        </w:rPr>
        <w:t>中共泉州师范学院第二次党代会报告</w:t>
      </w:r>
    </w:p>
    <w:p>
      <w:pPr>
        <w:spacing w:beforeLines="50" w:afterLines="50"/>
        <w:jc w:val="center"/>
        <w:rPr>
          <w:rFonts w:hint="eastAsia" w:ascii="仿宋" w:hAnsi="仿宋" w:eastAsia="仿宋" w:cs="仿宋"/>
          <w:b w:val="0"/>
          <w:bCs/>
          <w:color w:val="333333"/>
          <w:sz w:val="30"/>
          <w:szCs w:val="30"/>
          <w:shd w:val="clear" w:color="auto" w:fill="FFFFFF"/>
        </w:rPr>
      </w:pPr>
      <w:r>
        <w:rPr>
          <w:rFonts w:hint="eastAsia" w:ascii="仿宋" w:hAnsi="仿宋" w:eastAsia="仿宋" w:cs="仿宋"/>
          <w:color w:val="333333"/>
          <w:sz w:val="30"/>
          <w:szCs w:val="30"/>
          <w:shd w:val="clear" w:color="auto" w:fill="FFFFFF"/>
          <w:lang w:val="en-US" w:eastAsia="zh-CN"/>
        </w:rPr>
        <w:t xml:space="preserve">     </w:t>
      </w:r>
      <w:bookmarkStart w:id="0" w:name="_GoBack"/>
      <w:bookmarkEnd w:id="0"/>
      <w:r>
        <w:rPr>
          <w:rFonts w:hint="eastAsia" w:ascii="仿宋" w:hAnsi="仿宋" w:eastAsia="仿宋" w:cs="仿宋"/>
          <w:color w:val="333333"/>
          <w:sz w:val="30"/>
          <w:szCs w:val="30"/>
          <w:shd w:val="clear" w:color="auto" w:fill="FFFFFF"/>
          <w:lang w:val="en-US" w:eastAsia="zh-CN"/>
        </w:rPr>
        <w:t xml:space="preserve">     6.</w:t>
      </w:r>
      <w:r>
        <w:rPr>
          <w:rFonts w:hint="eastAsia" w:ascii="仿宋" w:hAnsi="仿宋" w:eastAsia="仿宋" w:cs="仿宋"/>
          <w:b w:val="0"/>
          <w:bCs/>
          <w:color w:val="333333"/>
          <w:sz w:val="30"/>
          <w:szCs w:val="30"/>
          <w:shd w:val="clear" w:color="auto" w:fill="FFFFFF"/>
        </w:rPr>
        <w:t>泉州师范学院项目库建设管理办法（征求意见稿）</w:t>
      </w:r>
    </w:p>
    <w:p>
      <w:pPr>
        <w:spacing w:beforeLines="50" w:afterLines="50"/>
        <w:jc w:val="center"/>
        <w:rPr>
          <w:rFonts w:hint="eastAsia" w:ascii="仿宋" w:hAnsi="仿宋" w:eastAsia="仿宋" w:cs="仿宋"/>
          <w:b w:val="0"/>
          <w:bCs/>
          <w:color w:val="333333"/>
          <w:sz w:val="30"/>
          <w:szCs w:val="30"/>
          <w:shd w:val="clear" w:color="auto" w:fill="FFFFFF"/>
        </w:rPr>
      </w:pPr>
    </w:p>
    <w:p>
      <w:pPr>
        <w:spacing w:beforeLines="50" w:afterLines="50"/>
        <w:jc w:val="center"/>
        <w:rPr>
          <w:rFonts w:hint="eastAsia" w:ascii="仿宋" w:hAnsi="仿宋" w:eastAsia="仿宋" w:cs="仿宋"/>
          <w:b w:val="0"/>
          <w:bCs/>
          <w:color w:val="333333"/>
          <w:sz w:val="30"/>
          <w:szCs w:val="30"/>
          <w:shd w:val="clear" w:color="auto" w:fill="FFFFFF"/>
          <w:lang w:val="en-US" w:eastAsia="zh-CN"/>
        </w:rPr>
      </w:pPr>
      <w:r>
        <w:rPr>
          <w:rFonts w:hint="eastAsia" w:ascii="仿宋" w:hAnsi="仿宋" w:eastAsia="仿宋" w:cs="仿宋"/>
          <w:b w:val="0"/>
          <w:bCs/>
          <w:color w:val="333333"/>
          <w:sz w:val="30"/>
          <w:szCs w:val="30"/>
          <w:shd w:val="clear" w:color="auto" w:fill="FFFFFF"/>
          <w:lang w:val="en-US" w:eastAsia="zh-CN"/>
        </w:rPr>
        <w:t xml:space="preserve">                            发展规划处</w:t>
      </w:r>
    </w:p>
    <w:p>
      <w:pPr>
        <w:spacing w:beforeLines="50" w:afterLines="50"/>
        <w:jc w:val="center"/>
        <w:rPr>
          <w:rFonts w:hint="eastAsia" w:ascii="仿宋" w:hAnsi="仿宋" w:eastAsia="仿宋" w:cs="仿宋"/>
          <w:b w:val="0"/>
          <w:bCs/>
          <w:color w:val="333333"/>
          <w:sz w:val="30"/>
          <w:szCs w:val="30"/>
          <w:shd w:val="clear" w:color="auto" w:fill="FFFFFF"/>
          <w:lang w:val="en-US" w:eastAsia="zh-CN"/>
        </w:rPr>
      </w:pPr>
      <w:r>
        <w:rPr>
          <w:rFonts w:hint="eastAsia" w:ascii="仿宋" w:hAnsi="仿宋" w:eastAsia="仿宋" w:cs="仿宋"/>
          <w:b w:val="0"/>
          <w:bCs/>
          <w:color w:val="333333"/>
          <w:sz w:val="30"/>
          <w:szCs w:val="30"/>
          <w:shd w:val="clear" w:color="auto" w:fill="FFFFFF"/>
          <w:lang w:val="en-US" w:eastAsia="zh-CN"/>
        </w:rPr>
        <w:t xml:space="preserve">                             2017年10月16日</w:t>
      </w:r>
    </w:p>
    <w:p>
      <w:pPr>
        <w:widowControl/>
        <w:shd w:val="clear" w:color="auto" w:fill="FFFFFF"/>
        <w:spacing w:line="360" w:lineRule="auto"/>
        <w:ind w:left="1399" w:leftChars="666"/>
        <w:jc w:val="left"/>
        <w:rPr>
          <w:rFonts w:hint="eastAsia"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303128"/>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4C57"/>
    <w:rsid w:val="00097F4F"/>
    <w:rsid w:val="000C3FD9"/>
    <w:rsid w:val="000F3CEC"/>
    <w:rsid w:val="001B2401"/>
    <w:rsid w:val="001C0C35"/>
    <w:rsid w:val="002249AC"/>
    <w:rsid w:val="002761DA"/>
    <w:rsid w:val="002B26C5"/>
    <w:rsid w:val="002F5BDD"/>
    <w:rsid w:val="00302190"/>
    <w:rsid w:val="00312854"/>
    <w:rsid w:val="0034172F"/>
    <w:rsid w:val="003B1B22"/>
    <w:rsid w:val="003F49A9"/>
    <w:rsid w:val="003F68EE"/>
    <w:rsid w:val="004403DC"/>
    <w:rsid w:val="00444C57"/>
    <w:rsid w:val="004D0607"/>
    <w:rsid w:val="004E5228"/>
    <w:rsid w:val="004E570B"/>
    <w:rsid w:val="004F614F"/>
    <w:rsid w:val="00544F27"/>
    <w:rsid w:val="005541B5"/>
    <w:rsid w:val="00564DAB"/>
    <w:rsid w:val="00603544"/>
    <w:rsid w:val="00657139"/>
    <w:rsid w:val="00747DA8"/>
    <w:rsid w:val="00793401"/>
    <w:rsid w:val="007C7B0F"/>
    <w:rsid w:val="008A2B2D"/>
    <w:rsid w:val="008A507D"/>
    <w:rsid w:val="009513BD"/>
    <w:rsid w:val="00A86FDF"/>
    <w:rsid w:val="00AD5F33"/>
    <w:rsid w:val="00B31605"/>
    <w:rsid w:val="00BD0317"/>
    <w:rsid w:val="00C14057"/>
    <w:rsid w:val="00C141E5"/>
    <w:rsid w:val="00C45864"/>
    <w:rsid w:val="00D23544"/>
    <w:rsid w:val="00D245D1"/>
    <w:rsid w:val="00D31A21"/>
    <w:rsid w:val="00E0004F"/>
    <w:rsid w:val="00E05731"/>
    <w:rsid w:val="00F01565"/>
    <w:rsid w:val="00F020D7"/>
    <w:rsid w:val="00F46D45"/>
    <w:rsid w:val="00F57678"/>
    <w:rsid w:val="00F866E3"/>
    <w:rsid w:val="00FA1A70"/>
    <w:rsid w:val="33F16FF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3300"/>
      <w:u w:val="none"/>
    </w:rPr>
  </w:style>
  <w:style w:type="character" w:customStyle="1" w:styleId="9">
    <w:name w:val="页眉 Char"/>
    <w:basedOn w:val="5"/>
    <w:link w:val="3"/>
    <w:semiHidden/>
    <w:uiPriority w:val="99"/>
    <w:rPr>
      <w:sz w:val="18"/>
      <w:szCs w:val="18"/>
    </w:rPr>
  </w:style>
  <w:style w:type="character" w:customStyle="1" w:styleId="10">
    <w:name w:val="页脚 Char"/>
    <w:basedOn w:val="5"/>
    <w:link w:val="2"/>
    <w:uiPriority w:val="99"/>
    <w:rPr>
      <w:sz w:val="18"/>
      <w:szCs w:val="18"/>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160</Words>
  <Characters>915</Characters>
  <Lines>7</Lines>
  <Paragraphs>2</Paragraphs>
  <TotalTime>0</TotalTime>
  <ScaleCrop>false</ScaleCrop>
  <LinksUpToDate>false</LinksUpToDate>
  <CharactersWithSpaces>1073</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2017-09-27T01:51:00Z</dcterms:created>
  <dc:creator>Hewlett-Packard Company</dc:creator>
  <cp:lastModifiedBy>hp</cp:lastModifiedBy>
  <cp:lastPrinted>2017-10-09T07:46:00Z</cp:lastPrinted>
  <dcterms:modified xsi:type="dcterms:W3CDTF">2017-10-16T03:05:33Z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